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5621D" w14:textId="77777777" w:rsidR="004D3B7C" w:rsidRPr="00F15939" w:rsidRDefault="004D3B7C" w:rsidP="004D3B7C">
      <w:pPr>
        <w:pStyle w:val="Title"/>
        <w:rPr>
          <w:rFonts w:ascii="Verdana" w:hAnsi="Verdana"/>
        </w:rPr>
      </w:pPr>
      <w:r w:rsidRPr="00F15939">
        <w:rPr>
          <w:rFonts w:ascii="Verdana" w:hAnsi="Verdana"/>
        </w:rPr>
        <w:t xml:space="preserve">Experiential Learning: </w:t>
      </w:r>
    </w:p>
    <w:p w14:paraId="30CF5314" w14:textId="4F8146AF" w:rsidR="004D3B7C" w:rsidRPr="00F15939" w:rsidRDefault="004D3B7C" w:rsidP="004D3B7C">
      <w:pPr>
        <w:pStyle w:val="Title"/>
        <w:rPr>
          <w:rFonts w:ascii="Verdana" w:hAnsi="Verdana"/>
        </w:rPr>
      </w:pPr>
      <w:r w:rsidRPr="00F15939">
        <w:rPr>
          <w:rFonts w:ascii="Verdana" w:hAnsi="Verdana"/>
        </w:rPr>
        <w:t>Online Delivery Options</w:t>
      </w:r>
    </w:p>
    <w:p w14:paraId="366C4736" w14:textId="77777777" w:rsidR="00E521FB" w:rsidRPr="00F15939" w:rsidRDefault="00E521FB" w:rsidP="00E521FB">
      <w:pPr>
        <w:rPr>
          <w:rFonts w:ascii="Verdana" w:hAnsi="Verdana"/>
        </w:rPr>
      </w:pPr>
      <w:r w:rsidRPr="00F15939">
        <w:rPr>
          <w:rFonts w:ascii="Verdana" w:hAnsi="Verdana"/>
        </w:rPr>
        <w:t xml:space="preserve">Experiential Learning (EL) is a broader term which encompasses 14 unique types of EL activities, which includes work-integrated learning (see Figure 2). Work Integrated Learning (WIL) is a formal arrangement between an employer/organization and Mohawk College that enables students to learn while working on the job. Mohawk College has created 14 definitions to reflect its current EL activities. </w:t>
      </w:r>
    </w:p>
    <w:p w14:paraId="72F4AC7E" w14:textId="77777777" w:rsidR="00E521FB" w:rsidRPr="00F15939" w:rsidRDefault="00E521FB" w:rsidP="00E521FB">
      <w:pPr>
        <w:keepNext/>
        <w:jc w:val="center"/>
        <w:rPr>
          <w:rFonts w:ascii="Verdana" w:hAnsi="Verdana"/>
        </w:rPr>
      </w:pPr>
      <w:r w:rsidRPr="00F15939">
        <w:rPr>
          <w:rFonts w:ascii="Verdana" w:hAnsi="Verdana"/>
          <w:noProof/>
          <w:lang w:val="en-US"/>
        </w:rPr>
        <w:drawing>
          <wp:inline distT="0" distB="0" distL="0" distR="0" wp14:anchorId="2F8A61B9" wp14:editId="59CF3069">
            <wp:extent cx="4536374" cy="2969968"/>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64991" cy="2988703"/>
                    </a:xfrm>
                    <a:prstGeom prst="rect">
                      <a:avLst/>
                    </a:prstGeom>
                  </pic:spPr>
                </pic:pic>
              </a:graphicData>
            </a:graphic>
          </wp:inline>
        </w:drawing>
      </w:r>
    </w:p>
    <w:p w14:paraId="2D819160" w14:textId="5A237691" w:rsidR="00E521FB" w:rsidRPr="00F15939" w:rsidRDefault="00E521FB" w:rsidP="00E521FB">
      <w:pPr>
        <w:rPr>
          <w:rFonts w:ascii="Verdana" w:hAnsi="Verdana"/>
        </w:rPr>
      </w:pPr>
    </w:p>
    <w:p w14:paraId="79BF5DC3" w14:textId="77777777" w:rsidR="007128D8" w:rsidRPr="00F15939" w:rsidRDefault="007128D8" w:rsidP="007128D8">
      <w:pPr>
        <w:pStyle w:val="Heading1"/>
        <w:rPr>
          <w:rFonts w:ascii="Verdana" w:hAnsi="Verdana"/>
        </w:rPr>
      </w:pPr>
      <w:r w:rsidRPr="00F15939">
        <w:rPr>
          <w:rFonts w:ascii="Verdana" w:hAnsi="Verdana"/>
        </w:rPr>
        <w:t>Moving Experiential Learning Online</w:t>
      </w:r>
    </w:p>
    <w:p w14:paraId="3D7CEB44" w14:textId="77777777" w:rsidR="007128D8" w:rsidRPr="0033470C" w:rsidRDefault="007128D8" w:rsidP="0033470C">
      <w:pPr>
        <w:rPr>
          <w:rFonts w:ascii="Verdana" w:hAnsi="Verdana"/>
        </w:rPr>
      </w:pPr>
      <w:r w:rsidRPr="0033470C">
        <w:rPr>
          <w:rFonts w:ascii="Verdana" w:hAnsi="Verdana"/>
        </w:rPr>
        <w:t xml:space="preserve">Experiential learning activities can be completed in an online environment. To get your thinking started, please view the resource chart included below for some ideas for online EL activities. </w:t>
      </w:r>
    </w:p>
    <w:p w14:paraId="5A78A5FA" w14:textId="3A45F059" w:rsidR="00D847FB" w:rsidRPr="0033470C" w:rsidRDefault="0033470C" w:rsidP="00E521FB">
      <w:pPr>
        <w:pStyle w:val="Heading1"/>
        <w:rPr>
          <w:rFonts w:ascii="Verdana" w:hAnsi="Verdana"/>
        </w:rPr>
      </w:pPr>
      <w:r w:rsidRPr="0033470C">
        <w:rPr>
          <w:rFonts w:ascii="Verdana" w:hAnsi="Verdana"/>
        </w:rPr>
        <w:t>Questions?</w:t>
      </w:r>
    </w:p>
    <w:p w14:paraId="2B3BE9BA" w14:textId="2025DE85" w:rsidR="0033470C" w:rsidRPr="0033470C" w:rsidRDefault="0033470C" w:rsidP="0033470C">
      <w:pPr>
        <w:rPr>
          <w:rFonts w:ascii="Verdana" w:hAnsi="Verdana"/>
        </w:rPr>
        <w:sectPr w:rsidR="0033470C" w:rsidRPr="0033470C" w:rsidSect="00D847F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pPr>
      <w:r w:rsidRPr="0033470C">
        <w:rPr>
          <w:rFonts w:ascii="Verdana" w:hAnsi="Verdana"/>
        </w:rPr>
        <w:t>For curriculum-related integration questions</w:t>
      </w:r>
      <w:r w:rsidR="00C816A0">
        <w:rPr>
          <w:rFonts w:ascii="Verdana" w:hAnsi="Verdana"/>
        </w:rPr>
        <w:t>,</w:t>
      </w:r>
      <w:r w:rsidRPr="0033470C">
        <w:rPr>
          <w:rFonts w:ascii="Verdana" w:hAnsi="Verdana"/>
        </w:rPr>
        <w:t xml:space="preserve"> please connect with your </w:t>
      </w:r>
      <w:hyperlink r:id="rId15" w:history="1">
        <w:r w:rsidRPr="0033470C">
          <w:rPr>
            <w:rStyle w:val="Hyperlink"/>
            <w:rFonts w:ascii="Verdana" w:hAnsi="Verdana"/>
          </w:rPr>
          <w:t>Curriculum Development Specialist</w:t>
        </w:r>
      </w:hyperlink>
      <w:r w:rsidRPr="0033470C">
        <w:rPr>
          <w:rFonts w:ascii="Verdana" w:hAnsi="Verdana"/>
        </w:rPr>
        <w:t xml:space="preserve"> at the Centre for</w:t>
      </w:r>
      <w:r>
        <w:rPr>
          <w:rFonts w:ascii="Verdana" w:hAnsi="Verdana"/>
        </w:rPr>
        <w:t xml:space="preserve"> Teaching &amp; Learning or visit the </w:t>
      </w:r>
      <w:hyperlink r:id="rId16" w:history="1">
        <w:r>
          <w:rPr>
            <w:rStyle w:val="Hyperlink"/>
            <w:rFonts w:ascii="Verdana" w:hAnsi="Verdana"/>
          </w:rPr>
          <w:t>Centre for Experiential Learning</w:t>
        </w:r>
      </w:hyperlink>
      <w:r>
        <w:rPr>
          <w:rFonts w:ascii="Verdana" w:hAnsi="Verdana"/>
        </w:rPr>
        <w:t xml:space="preserve"> online.</w:t>
      </w:r>
    </w:p>
    <w:p w14:paraId="18601A7F" w14:textId="3FDCACAE" w:rsidR="00F15939" w:rsidRDefault="00F15939" w:rsidP="00D847FB">
      <w:pPr>
        <w:pStyle w:val="Caption"/>
        <w:keepNext/>
      </w:pPr>
      <w:r>
        <w:lastRenderedPageBreak/>
        <w:t xml:space="preserve">Table </w:t>
      </w:r>
      <w:r w:rsidR="00593100">
        <w:fldChar w:fldCharType="begin"/>
      </w:r>
      <w:r w:rsidR="00593100">
        <w:instrText xml:space="preserve"> SEQ Table \* ARABIC </w:instrText>
      </w:r>
      <w:r w:rsidR="00593100">
        <w:fldChar w:fldCharType="separate"/>
      </w:r>
      <w:r>
        <w:rPr>
          <w:noProof/>
        </w:rPr>
        <w:t>1</w:t>
      </w:r>
      <w:r w:rsidR="00593100">
        <w:rPr>
          <w:noProof/>
        </w:rPr>
        <w:fldChar w:fldCharType="end"/>
      </w:r>
      <w:r>
        <w:t xml:space="preserve"> Experiential Learning - Online Options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xperiential Learning Online Options"/>
        <w:tblDescription w:val="This table provides experiential learning (EL) types, definitions, and options for EL completion online."/>
      </w:tblPr>
      <w:tblGrid>
        <w:gridCol w:w="3507"/>
        <w:gridCol w:w="8796"/>
        <w:gridCol w:w="9297"/>
      </w:tblGrid>
      <w:tr w:rsidR="00E521FB" w:rsidRPr="00F15939" w14:paraId="129AE73C" w14:textId="77777777" w:rsidTr="00791466">
        <w:trPr>
          <w:cantSplit/>
          <w:tblHeader/>
        </w:trPr>
        <w:tc>
          <w:tcPr>
            <w:tcW w:w="812" w:type="pct"/>
            <w:tcBorders>
              <w:bottom w:val="single" w:sz="4" w:space="0" w:color="74002C" w:themeColor="accent1"/>
            </w:tcBorders>
            <w:vAlign w:val="center"/>
          </w:tcPr>
          <w:p w14:paraId="1DFF38A8" w14:textId="35D28AB3" w:rsidR="00E521FB" w:rsidRPr="00D847FB" w:rsidRDefault="00E521FB" w:rsidP="007128D8">
            <w:pPr>
              <w:spacing w:before="120" w:after="120"/>
              <w:jc w:val="center"/>
              <w:rPr>
                <w:rFonts w:ascii="Verdana" w:hAnsi="Verdana"/>
                <w:b/>
                <w:sz w:val="28"/>
              </w:rPr>
            </w:pPr>
            <w:bookmarkStart w:id="0" w:name="Title_Experiential_Learning_Online"/>
            <w:bookmarkEnd w:id="0"/>
            <w:r w:rsidRPr="00D847FB">
              <w:rPr>
                <w:rFonts w:ascii="Verdana" w:hAnsi="Verdana"/>
                <w:b/>
                <w:sz w:val="28"/>
              </w:rPr>
              <w:t>Experiential Learning Type</w:t>
            </w:r>
          </w:p>
        </w:tc>
        <w:tc>
          <w:tcPr>
            <w:tcW w:w="2036" w:type="pct"/>
            <w:tcBorders>
              <w:bottom w:val="single" w:sz="4" w:space="0" w:color="74002C" w:themeColor="accent1"/>
            </w:tcBorders>
            <w:vAlign w:val="center"/>
          </w:tcPr>
          <w:p w14:paraId="632D44A5" w14:textId="66D746C7" w:rsidR="00E521FB" w:rsidRPr="00D847FB" w:rsidRDefault="00E521FB" w:rsidP="007128D8">
            <w:pPr>
              <w:spacing w:before="120" w:after="120"/>
              <w:jc w:val="center"/>
              <w:rPr>
                <w:rFonts w:ascii="Verdana" w:hAnsi="Verdana"/>
                <w:b/>
                <w:sz w:val="28"/>
              </w:rPr>
            </w:pPr>
            <w:r w:rsidRPr="00D847FB">
              <w:rPr>
                <w:rFonts w:ascii="Verdana" w:hAnsi="Verdana"/>
                <w:b/>
                <w:sz w:val="28"/>
              </w:rPr>
              <w:t>Definition</w:t>
            </w:r>
          </w:p>
        </w:tc>
        <w:tc>
          <w:tcPr>
            <w:tcW w:w="2152" w:type="pct"/>
            <w:tcBorders>
              <w:bottom w:val="single" w:sz="4" w:space="0" w:color="74002C" w:themeColor="accent1"/>
            </w:tcBorders>
            <w:vAlign w:val="center"/>
          </w:tcPr>
          <w:p w14:paraId="5AAF4FF2" w14:textId="76222FE7" w:rsidR="00E521FB" w:rsidRPr="00D847FB" w:rsidRDefault="00E521FB" w:rsidP="007128D8">
            <w:pPr>
              <w:spacing w:before="120" w:after="120"/>
              <w:jc w:val="center"/>
              <w:rPr>
                <w:rFonts w:ascii="Verdana" w:hAnsi="Verdana"/>
                <w:b/>
                <w:sz w:val="28"/>
              </w:rPr>
            </w:pPr>
            <w:r w:rsidRPr="00D847FB">
              <w:rPr>
                <w:rFonts w:ascii="Verdana" w:hAnsi="Verdana"/>
                <w:b/>
                <w:sz w:val="28"/>
              </w:rPr>
              <w:t>Online Options</w:t>
            </w:r>
          </w:p>
        </w:tc>
      </w:tr>
      <w:tr w:rsidR="007128D8" w:rsidRPr="00F15939" w14:paraId="6FD2C5F6" w14:textId="77777777" w:rsidTr="00791466">
        <w:trPr>
          <w:cantSplit/>
        </w:trPr>
        <w:tc>
          <w:tcPr>
            <w:tcW w:w="812" w:type="pct"/>
            <w:tcBorders>
              <w:top w:val="single" w:sz="4" w:space="0" w:color="74002C" w:themeColor="accent1"/>
              <w:bottom w:val="single" w:sz="4" w:space="0" w:color="74002C" w:themeColor="accent1"/>
            </w:tcBorders>
            <w:shd w:val="clear" w:color="auto" w:fill="F2F2F2" w:themeFill="background1" w:themeFillShade="F2"/>
          </w:tcPr>
          <w:p w14:paraId="5BA5A6FC" w14:textId="3C50D57E" w:rsidR="00E521FB" w:rsidRPr="00F15939" w:rsidRDefault="00E521FB" w:rsidP="007128D8">
            <w:pPr>
              <w:spacing w:before="120" w:after="120"/>
              <w:rPr>
                <w:rFonts w:ascii="Verdana" w:hAnsi="Verdana"/>
              </w:rPr>
            </w:pPr>
            <w:r w:rsidRPr="00F15939">
              <w:rPr>
                <w:rFonts w:ascii="Verdana" w:hAnsi="Verdana"/>
              </w:rPr>
              <w:t>Applied Research Project or Course</w:t>
            </w:r>
          </w:p>
        </w:tc>
        <w:tc>
          <w:tcPr>
            <w:tcW w:w="2036" w:type="pct"/>
            <w:tcBorders>
              <w:top w:val="single" w:sz="4" w:space="0" w:color="74002C" w:themeColor="accent1"/>
              <w:bottom w:val="single" w:sz="4" w:space="0" w:color="74002C" w:themeColor="accent1"/>
            </w:tcBorders>
            <w:shd w:val="clear" w:color="auto" w:fill="F2F2F2" w:themeFill="background1" w:themeFillShade="F2"/>
          </w:tcPr>
          <w:p w14:paraId="7D04089B" w14:textId="790A1A66" w:rsidR="00E521FB" w:rsidRPr="00F15939" w:rsidRDefault="00E521FB" w:rsidP="007128D8">
            <w:pPr>
              <w:tabs>
                <w:tab w:val="left" w:pos="936"/>
              </w:tabs>
              <w:spacing w:before="120" w:after="120"/>
              <w:rPr>
                <w:rFonts w:ascii="Verdana" w:hAnsi="Verdana"/>
              </w:rPr>
            </w:pPr>
            <w:r w:rsidRPr="00F15939">
              <w:rPr>
                <w:rFonts w:ascii="Verdana" w:hAnsi="Verdana"/>
              </w:rPr>
              <w:t>Research that solves real world challenges and has immediate practical implications. Applied research is undertaken with an external organization in order to apply new knowledge, primarily towards a specific practical aim or objective. Applied research can occur at either a workplace or on campus.</w:t>
            </w:r>
          </w:p>
        </w:tc>
        <w:tc>
          <w:tcPr>
            <w:tcW w:w="2152" w:type="pct"/>
            <w:tcBorders>
              <w:top w:val="single" w:sz="4" w:space="0" w:color="74002C" w:themeColor="accent1"/>
              <w:bottom w:val="single" w:sz="4" w:space="0" w:color="74002C" w:themeColor="accent1"/>
            </w:tcBorders>
            <w:shd w:val="clear" w:color="auto" w:fill="F2F2F2" w:themeFill="background1" w:themeFillShade="F2"/>
          </w:tcPr>
          <w:p w14:paraId="7311B706" w14:textId="26BFECBA" w:rsidR="00D847FB" w:rsidRPr="00D847FB" w:rsidRDefault="00E521FB" w:rsidP="007128D8">
            <w:pPr>
              <w:pStyle w:val="ListParagraph"/>
              <w:numPr>
                <w:ilvl w:val="0"/>
                <w:numId w:val="6"/>
              </w:numPr>
              <w:spacing w:before="120" w:after="120"/>
              <w:ind w:left="342"/>
              <w:contextualSpacing w:val="0"/>
              <w:rPr>
                <w:rFonts w:ascii="Verdana" w:hAnsi="Verdana"/>
              </w:rPr>
            </w:pPr>
            <w:r w:rsidRPr="00D847FB">
              <w:rPr>
                <w:rFonts w:ascii="Verdana" w:hAnsi="Verdana"/>
              </w:rPr>
              <w:t xml:space="preserve">Online projects. Connect remotely with external organizations for students to develop and/or complete projects. Supporting tools include Zoom and Microsoft Teams. </w:t>
            </w:r>
          </w:p>
          <w:p w14:paraId="1ECB1434" w14:textId="2DBDF444" w:rsidR="00E521FB" w:rsidRPr="00F15939" w:rsidRDefault="00593100" w:rsidP="00791466">
            <w:pPr>
              <w:pStyle w:val="ListParagraph"/>
              <w:numPr>
                <w:ilvl w:val="0"/>
                <w:numId w:val="6"/>
              </w:numPr>
              <w:spacing w:before="120" w:after="120"/>
              <w:ind w:left="342"/>
              <w:rPr>
                <w:rFonts w:ascii="Verdana" w:hAnsi="Verdana"/>
              </w:rPr>
            </w:pPr>
            <w:hyperlink r:id="rId17" w:history="1">
              <w:proofErr w:type="spellStart"/>
              <w:r w:rsidR="00E521FB" w:rsidRPr="00D847FB">
                <w:rPr>
                  <w:rStyle w:val="Hyperlink"/>
                  <w:rFonts w:ascii="Verdana" w:hAnsi="Verdana"/>
                </w:rPr>
                <w:t>CityLAB</w:t>
              </w:r>
              <w:proofErr w:type="spellEnd"/>
            </w:hyperlink>
            <w:r w:rsidR="00E521FB" w:rsidRPr="00D847FB">
              <w:rPr>
                <w:rFonts w:ascii="Verdana" w:hAnsi="Verdana"/>
              </w:rPr>
              <w:t xml:space="preserve">. Connect with Hamilton’s </w:t>
            </w:r>
            <w:proofErr w:type="spellStart"/>
            <w:r w:rsidR="00E521FB" w:rsidRPr="00D847FB">
              <w:rPr>
                <w:rFonts w:ascii="Verdana" w:hAnsi="Verdana"/>
              </w:rPr>
              <w:t>CityLAB</w:t>
            </w:r>
            <w:proofErr w:type="spellEnd"/>
            <w:r w:rsidR="00E521FB" w:rsidRPr="00D847FB">
              <w:rPr>
                <w:rFonts w:ascii="Verdana" w:hAnsi="Verdana"/>
              </w:rPr>
              <w:t xml:space="preserve"> to see if there is a project available for your students to complete in partnership with the City of Hamilton. </w:t>
            </w:r>
          </w:p>
        </w:tc>
      </w:tr>
      <w:tr w:rsidR="00E521FB" w:rsidRPr="00F15939" w14:paraId="1D0E04F0" w14:textId="77777777" w:rsidTr="00791466">
        <w:trPr>
          <w:cantSplit/>
        </w:trPr>
        <w:tc>
          <w:tcPr>
            <w:tcW w:w="812" w:type="pct"/>
            <w:tcBorders>
              <w:top w:val="single" w:sz="4" w:space="0" w:color="74002C" w:themeColor="accent1"/>
              <w:bottom w:val="single" w:sz="4" w:space="0" w:color="74002C" w:themeColor="accent1"/>
            </w:tcBorders>
          </w:tcPr>
          <w:p w14:paraId="04015B9E" w14:textId="39974FDB" w:rsidR="00E521FB" w:rsidRPr="00F15939" w:rsidRDefault="00E521FB" w:rsidP="007128D8">
            <w:pPr>
              <w:spacing w:before="120" w:after="120"/>
              <w:rPr>
                <w:rFonts w:ascii="Verdana" w:hAnsi="Verdana"/>
              </w:rPr>
            </w:pPr>
            <w:r w:rsidRPr="00F15939">
              <w:rPr>
                <w:rFonts w:ascii="Verdana" w:hAnsi="Verdana"/>
              </w:rPr>
              <w:t>Apprenticeship</w:t>
            </w:r>
          </w:p>
        </w:tc>
        <w:tc>
          <w:tcPr>
            <w:tcW w:w="2036" w:type="pct"/>
            <w:tcBorders>
              <w:top w:val="single" w:sz="4" w:space="0" w:color="74002C" w:themeColor="accent1"/>
              <w:bottom w:val="single" w:sz="4" w:space="0" w:color="74002C" w:themeColor="accent1"/>
            </w:tcBorders>
          </w:tcPr>
          <w:p w14:paraId="43246995" w14:textId="16721D77" w:rsidR="00E521FB" w:rsidRPr="00F15939" w:rsidRDefault="00E521FB" w:rsidP="007128D8">
            <w:pPr>
              <w:spacing w:before="120" w:after="120"/>
              <w:rPr>
                <w:rFonts w:ascii="Verdana" w:hAnsi="Verdana"/>
              </w:rPr>
            </w:pPr>
            <w:r w:rsidRPr="00F15939">
              <w:rPr>
                <w:rFonts w:ascii="Verdana" w:hAnsi="Verdana"/>
              </w:rPr>
              <w:t xml:space="preserve">An on-the-job training program for skilled trades that combines paid employment under the supervision of a certified journeyperson and in-class training from a post-secondary institution, with a specified </w:t>
            </w:r>
            <w:proofErr w:type="gramStart"/>
            <w:r w:rsidRPr="00F15939">
              <w:rPr>
                <w:rFonts w:ascii="Verdana" w:hAnsi="Verdana"/>
              </w:rPr>
              <w:t>amount</w:t>
            </w:r>
            <w:proofErr w:type="gramEnd"/>
            <w:r w:rsidRPr="00F15939">
              <w:rPr>
                <w:rFonts w:ascii="Verdana" w:hAnsi="Verdana"/>
              </w:rPr>
              <w:t xml:space="preserve"> of hours for both requirements. Apprenticeships are administered by the Ontario Ministry of Training, Colleges, and Universities and the Ontario College of Trades.</w:t>
            </w:r>
          </w:p>
        </w:tc>
        <w:tc>
          <w:tcPr>
            <w:tcW w:w="2152" w:type="pct"/>
            <w:tcBorders>
              <w:top w:val="single" w:sz="4" w:space="0" w:color="74002C" w:themeColor="accent1"/>
              <w:bottom w:val="single" w:sz="4" w:space="0" w:color="74002C" w:themeColor="accent1"/>
            </w:tcBorders>
          </w:tcPr>
          <w:p w14:paraId="66F340E8" w14:textId="0E6A757A" w:rsidR="00E521FB" w:rsidRPr="00F15939" w:rsidRDefault="00E521FB" w:rsidP="007128D8">
            <w:pPr>
              <w:spacing w:before="120" w:after="120"/>
              <w:rPr>
                <w:rFonts w:ascii="Verdana" w:hAnsi="Verdana"/>
              </w:rPr>
            </w:pPr>
            <w:r w:rsidRPr="00F15939">
              <w:rPr>
                <w:rFonts w:ascii="Verdana" w:hAnsi="Verdana"/>
              </w:rPr>
              <w:t>No online options available.</w:t>
            </w:r>
          </w:p>
        </w:tc>
      </w:tr>
      <w:tr w:rsidR="007128D8" w:rsidRPr="00F15939" w14:paraId="11D8E826" w14:textId="77777777" w:rsidTr="00791466">
        <w:trPr>
          <w:cantSplit/>
        </w:trPr>
        <w:tc>
          <w:tcPr>
            <w:tcW w:w="812" w:type="pct"/>
            <w:tcBorders>
              <w:top w:val="single" w:sz="4" w:space="0" w:color="74002C" w:themeColor="accent1"/>
              <w:bottom w:val="single" w:sz="4" w:space="0" w:color="74002C" w:themeColor="accent1"/>
            </w:tcBorders>
            <w:shd w:val="clear" w:color="auto" w:fill="F2F2F2" w:themeFill="background1" w:themeFillShade="F2"/>
          </w:tcPr>
          <w:p w14:paraId="7B2C5898" w14:textId="0448499E" w:rsidR="00591686" w:rsidRPr="00F15939" w:rsidRDefault="00791466" w:rsidP="007128D8">
            <w:pPr>
              <w:spacing w:before="120" w:after="120"/>
              <w:rPr>
                <w:rFonts w:ascii="Verdana" w:hAnsi="Verdana"/>
              </w:rPr>
            </w:pPr>
            <w:bookmarkStart w:id="1" w:name="_Toc5085215"/>
            <w:bookmarkStart w:id="2" w:name="_Toc5887537"/>
            <w:bookmarkStart w:id="3" w:name="_Toc6313768"/>
            <w:r w:rsidRPr="00F15939">
              <w:rPr>
                <w:rFonts w:ascii="Verdana" w:hAnsi="Verdana"/>
              </w:rPr>
              <w:t>Campus Incubator</w:t>
            </w:r>
            <w:bookmarkEnd w:id="1"/>
            <w:bookmarkEnd w:id="2"/>
            <w:bookmarkEnd w:id="3"/>
            <w:r w:rsidRPr="00F15939">
              <w:rPr>
                <w:rFonts w:ascii="Verdana" w:hAnsi="Verdana"/>
              </w:rPr>
              <w:t xml:space="preserve"> </w:t>
            </w:r>
          </w:p>
          <w:p w14:paraId="3DE019F1" w14:textId="77777777" w:rsidR="00E521FB" w:rsidRPr="00F15939" w:rsidRDefault="00E521FB" w:rsidP="007128D8">
            <w:pPr>
              <w:spacing w:before="120" w:after="120"/>
              <w:rPr>
                <w:rFonts w:ascii="Verdana" w:hAnsi="Verdana"/>
              </w:rPr>
            </w:pPr>
          </w:p>
        </w:tc>
        <w:tc>
          <w:tcPr>
            <w:tcW w:w="2036" w:type="pct"/>
            <w:tcBorders>
              <w:top w:val="single" w:sz="4" w:space="0" w:color="74002C" w:themeColor="accent1"/>
              <w:bottom w:val="single" w:sz="4" w:space="0" w:color="74002C" w:themeColor="accent1"/>
            </w:tcBorders>
            <w:shd w:val="clear" w:color="auto" w:fill="F2F2F2" w:themeFill="background1" w:themeFillShade="F2"/>
          </w:tcPr>
          <w:p w14:paraId="59501993" w14:textId="0B6FFBD3" w:rsidR="00E521FB" w:rsidRPr="00F15939" w:rsidRDefault="00E521FB" w:rsidP="007128D8">
            <w:pPr>
              <w:spacing w:before="120" w:after="120"/>
              <w:rPr>
                <w:rFonts w:ascii="Verdana" w:hAnsi="Verdana"/>
              </w:rPr>
            </w:pPr>
            <w:r w:rsidRPr="00F15939">
              <w:rPr>
                <w:rFonts w:ascii="Verdana" w:hAnsi="Verdana"/>
              </w:rPr>
              <w:t>Intended primarily to promote entrepreneurship and social initiatives.  Incubators provide start-up assistance, physical space, mentorship, and support services that focus on early-stage entrepreneurs.</w:t>
            </w:r>
          </w:p>
        </w:tc>
        <w:tc>
          <w:tcPr>
            <w:tcW w:w="2152" w:type="pct"/>
            <w:tcBorders>
              <w:top w:val="single" w:sz="4" w:space="0" w:color="74002C" w:themeColor="accent1"/>
              <w:bottom w:val="single" w:sz="4" w:space="0" w:color="74002C" w:themeColor="accent1"/>
            </w:tcBorders>
            <w:shd w:val="clear" w:color="auto" w:fill="F2F2F2" w:themeFill="background1" w:themeFillShade="F2"/>
          </w:tcPr>
          <w:p w14:paraId="259AE91A" w14:textId="77777777" w:rsidR="003C37F5" w:rsidRPr="00D847FB" w:rsidRDefault="00E521FB" w:rsidP="007128D8">
            <w:pPr>
              <w:pStyle w:val="ListParagraph"/>
              <w:numPr>
                <w:ilvl w:val="0"/>
                <w:numId w:val="7"/>
              </w:numPr>
              <w:spacing w:before="120" w:after="120"/>
              <w:ind w:left="342"/>
              <w:contextualSpacing w:val="0"/>
              <w:rPr>
                <w:rFonts w:ascii="Verdana" w:hAnsi="Verdana"/>
              </w:rPr>
            </w:pPr>
            <w:proofErr w:type="spellStart"/>
            <w:r w:rsidRPr="00D847FB">
              <w:rPr>
                <w:rFonts w:ascii="Verdana" w:hAnsi="Verdana"/>
              </w:rPr>
              <w:t>eCo</w:t>
            </w:r>
            <w:proofErr w:type="spellEnd"/>
            <w:r w:rsidRPr="00D847FB">
              <w:rPr>
                <w:rFonts w:ascii="Verdana" w:hAnsi="Verdana"/>
              </w:rPr>
              <w:t xml:space="preserve">-op. For </w:t>
            </w:r>
            <w:proofErr w:type="spellStart"/>
            <w:r w:rsidRPr="00D847FB">
              <w:rPr>
                <w:rFonts w:ascii="Verdana" w:hAnsi="Verdana"/>
              </w:rPr>
              <w:t>eCo</w:t>
            </w:r>
            <w:proofErr w:type="spellEnd"/>
            <w:r w:rsidRPr="00D847FB">
              <w:rPr>
                <w:rFonts w:ascii="Verdana" w:hAnsi="Verdana"/>
              </w:rPr>
              <w:t xml:space="preserve">-op information, please connect with </w:t>
            </w:r>
            <w:hyperlink r:id="rId18" w:history="1">
              <w:r w:rsidRPr="00D847FB">
                <w:rPr>
                  <w:rStyle w:val="Hyperlink"/>
                  <w:rFonts w:ascii="Verdana" w:hAnsi="Verdana"/>
                </w:rPr>
                <w:t>Julie Farnand</w:t>
              </w:r>
            </w:hyperlink>
            <w:r w:rsidRPr="00D847FB">
              <w:rPr>
                <w:rFonts w:ascii="Verdana" w:hAnsi="Verdana"/>
              </w:rPr>
              <w:t xml:space="preserve">. </w:t>
            </w:r>
          </w:p>
          <w:p w14:paraId="70F2133C" w14:textId="15120064" w:rsidR="00E521FB" w:rsidRPr="007128D8" w:rsidRDefault="00E521FB" w:rsidP="007128D8">
            <w:pPr>
              <w:pStyle w:val="ListParagraph"/>
              <w:numPr>
                <w:ilvl w:val="0"/>
                <w:numId w:val="7"/>
              </w:numPr>
              <w:spacing w:before="120" w:after="120"/>
              <w:ind w:left="342"/>
              <w:rPr>
                <w:rFonts w:ascii="Verdana" w:hAnsi="Verdana"/>
              </w:rPr>
            </w:pPr>
            <w:r w:rsidRPr="00D847FB">
              <w:rPr>
                <w:rFonts w:ascii="Verdana" w:hAnsi="Verdana"/>
              </w:rPr>
              <w:t xml:space="preserve">SURGE. Email </w:t>
            </w:r>
            <w:hyperlink r:id="rId19" w:history="1">
              <w:r w:rsidRPr="00D847FB">
                <w:rPr>
                  <w:rStyle w:val="Hyperlink"/>
                  <w:rFonts w:ascii="Verdana" w:hAnsi="Verdana"/>
                </w:rPr>
                <w:t>Ryan Anderson</w:t>
              </w:r>
            </w:hyperlink>
            <w:r w:rsidRPr="00D847FB">
              <w:rPr>
                <w:rFonts w:ascii="Verdana" w:hAnsi="Verdana"/>
              </w:rPr>
              <w:t>, General Manager of SURGE, for more information.</w:t>
            </w:r>
          </w:p>
        </w:tc>
      </w:tr>
      <w:tr w:rsidR="00E521FB" w:rsidRPr="00F15939" w14:paraId="3039E97A" w14:textId="77777777" w:rsidTr="00BA364D">
        <w:trPr>
          <w:cantSplit/>
        </w:trPr>
        <w:tc>
          <w:tcPr>
            <w:tcW w:w="812" w:type="pct"/>
            <w:tcBorders>
              <w:top w:val="single" w:sz="4" w:space="0" w:color="74002C" w:themeColor="accent1"/>
              <w:bottom w:val="single" w:sz="4" w:space="0" w:color="74002C" w:themeColor="accent1"/>
            </w:tcBorders>
          </w:tcPr>
          <w:p w14:paraId="494EBD51" w14:textId="4BE88BC7" w:rsidR="00E521FB" w:rsidRPr="00F15939" w:rsidRDefault="00E521FB" w:rsidP="007128D8">
            <w:pPr>
              <w:spacing w:before="120" w:after="120"/>
              <w:rPr>
                <w:rFonts w:ascii="Verdana" w:hAnsi="Verdana"/>
              </w:rPr>
            </w:pPr>
            <w:r w:rsidRPr="00F15939">
              <w:rPr>
                <w:rFonts w:ascii="Verdana" w:hAnsi="Verdana"/>
              </w:rPr>
              <w:t>Capstone Project</w:t>
            </w:r>
          </w:p>
        </w:tc>
        <w:tc>
          <w:tcPr>
            <w:tcW w:w="2036" w:type="pct"/>
            <w:tcBorders>
              <w:top w:val="single" w:sz="4" w:space="0" w:color="74002C" w:themeColor="accent1"/>
              <w:bottom w:val="single" w:sz="4" w:space="0" w:color="74002C" w:themeColor="accent1"/>
            </w:tcBorders>
          </w:tcPr>
          <w:p w14:paraId="6CC19926" w14:textId="6AA12434" w:rsidR="00E521FB" w:rsidRPr="00F15939" w:rsidRDefault="00E521FB" w:rsidP="007128D8">
            <w:pPr>
              <w:spacing w:before="120" w:after="120"/>
              <w:rPr>
                <w:rFonts w:ascii="Verdana" w:hAnsi="Verdana"/>
              </w:rPr>
            </w:pPr>
            <w:r w:rsidRPr="00F15939">
              <w:rPr>
                <w:rFonts w:ascii="Verdana" w:hAnsi="Verdana"/>
              </w:rPr>
              <w:t>A cumulative activity in the final semesters of a program that is based significantly on knowledge and skills acquired in earlier course work. It involves a creative, iterative, and often open-ended process using problem-based learning to address a project challenge. Students spend a significant amount of time, working independently or in a team environment, throughout the semester and translate their results using written reports, oral presentations, or poster presentations. Projects can involve qualitative or quantitative research.</w:t>
            </w:r>
          </w:p>
        </w:tc>
        <w:tc>
          <w:tcPr>
            <w:tcW w:w="2152" w:type="pct"/>
            <w:tcBorders>
              <w:top w:val="single" w:sz="4" w:space="0" w:color="74002C" w:themeColor="accent1"/>
              <w:bottom w:val="single" w:sz="4" w:space="0" w:color="74002C" w:themeColor="accent1"/>
            </w:tcBorders>
          </w:tcPr>
          <w:p w14:paraId="76D571BF" w14:textId="77777777" w:rsidR="00E521FB" w:rsidRPr="00F15939" w:rsidRDefault="00E521FB" w:rsidP="007128D8">
            <w:pPr>
              <w:numPr>
                <w:ilvl w:val="0"/>
                <w:numId w:val="2"/>
              </w:numPr>
              <w:spacing w:before="120" w:after="120"/>
              <w:rPr>
                <w:rFonts w:ascii="Verdana" w:hAnsi="Verdana"/>
              </w:rPr>
            </w:pPr>
            <w:r w:rsidRPr="00F15939">
              <w:rPr>
                <w:rFonts w:ascii="Verdana" w:hAnsi="Verdana"/>
              </w:rPr>
              <w:t xml:space="preserve">Online projects. Connect remotely with external organizations for students to develop and/or complete projects. Supporting tools include Zoom and Microsoft Teams. </w:t>
            </w:r>
          </w:p>
          <w:p w14:paraId="7579A46B" w14:textId="35E554B4" w:rsidR="00E521FB" w:rsidRPr="00F15939" w:rsidRDefault="00593100" w:rsidP="007128D8">
            <w:pPr>
              <w:numPr>
                <w:ilvl w:val="0"/>
                <w:numId w:val="2"/>
              </w:numPr>
              <w:spacing w:before="120" w:after="120"/>
              <w:rPr>
                <w:rFonts w:ascii="Verdana" w:hAnsi="Verdana"/>
              </w:rPr>
            </w:pPr>
            <w:hyperlink r:id="rId20" w:history="1">
              <w:proofErr w:type="spellStart"/>
              <w:r w:rsidR="00E521FB" w:rsidRPr="00F15939">
                <w:rPr>
                  <w:rStyle w:val="Hyperlink"/>
                  <w:rFonts w:ascii="Verdana" w:hAnsi="Verdana"/>
                </w:rPr>
                <w:t>Riipen</w:t>
              </w:r>
              <w:proofErr w:type="spellEnd"/>
            </w:hyperlink>
            <w:r w:rsidR="00E521FB" w:rsidRPr="00F15939">
              <w:rPr>
                <w:rFonts w:ascii="Verdana" w:hAnsi="Verdana"/>
              </w:rPr>
              <w:t xml:space="preserve">. Apply for/post a project and connect with organizations all-over the world. All project management is hosted and completed on this platform, </w:t>
            </w:r>
            <w:r w:rsidR="00CE7131">
              <w:rPr>
                <w:rFonts w:ascii="Verdana" w:hAnsi="Verdana"/>
              </w:rPr>
              <w:t xml:space="preserve">for </w:t>
            </w:r>
            <w:r w:rsidR="00E521FB" w:rsidRPr="00F15939">
              <w:rPr>
                <w:rFonts w:ascii="Verdana" w:hAnsi="Verdana"/>
              </w:rPr>
              <w:t xml:space="preserve">which Mohawk has secured a license for students. </w:t>
            </w:r>
          </w:p>
          <w:p w14:paraId="5A1D4701" w14:textId="6B50B356" w:rsidR="00E521FB" w:rsidRPr="00F15939" w:rsidRDefault="00593100" w:rsidP="00791466">
            <w:pPr>
              <w:numPr>
                <w:ilvl w:val="0"/>
                <w:numId w:val="2"/>
              </w:numPr>
              <w:spacing w:before="120" w:after="120"/>
              <w:rPr>
                <w:rFonts w:ascii="Verdana" w:hAnsi="Verdana"/>
              </w:rPr>
            </w:pPr>
            <w:hyperlink r:id="rId21" w:history="1">
              <w:proofErr w:type="spellStart"/>
              <w:r w:rsidR="00E521FB" w:rsidRPr="00F15939">
                <w:rPr>
                  <w:rStyle w:val="Hyperlink"/>
                  <w:rFonts w:ascii="Verdana" w:hAnsi="Verdana"/>
                </w:rPr>
                <w:t>CityLAB</w:t>
              </w:r>
              <w:proofErr w:type="spellEnd"/>
            </w:hyperlink>
            <w:r w:rsidR="00E521FB" w:rsidRPr="00F15939">
              <w:rPr>
                <w:rFonts w:ascii="Verdana" w:hAnsi="Verdana"/>
              </w:rPr>
              <w:t xml:space="preserve">. Connect with Hamilton’s </w:t>
            </w:r>
            <w:proofErr w:type="spellStart"/>
            <w:r w:rsidR="00E521FB" w:rsidRPr="00F15939">
              <w:rPr>
                <w:rFonts w:ascii="Verdana" w:hAnsi="Verdana"/>
              </w:rPr>
              <w:t>CityLAB</w:t>
            </w:r>
            <w:proofErr w:type="spellEnd"/>
            <w:r w:rsidR="00E521FB" w:rsidRPr="00F15939">
              <w:rPr>
                <w:rFonts w:ascii="Verdana" w:hAnsi="Verdana"/>
              </w:rPr>
              <w:t xml:space="preserve"> to see if there is a project available for your students to complete in partnership with the City of Hamilton. </w:t>
            </w:r>
          </w:p>
        </w:tc>
      </w:tr>
      <w:tr w:rsidR="007128D8" w:rsidRPr="00F15939" w14:paraId="1699013A" w14:textId="77777777" w:rsidTr="00BA364D">
        <w:trPr>
          <w:cantSplit/>
        </w:trPr>
        <w:tc>
          <w:tcPr>
            <w:tcW w:w="812" w:type="pct"/>
            <w:tcBorders>
              <w:top w:val="single" w:sz="4" w:space="0" w:color="74002C" w:themeColor="accent1"/>
              <w:bottom w:val="single" w:sz="4" w:space="0" w:color="74002C" w:themeColor="accent1"/>
            </w:tcBorders>
            <w:shd w:val="clear" w:color="auto" w:fill="F2F2F2" w:themeFill="background1" w:themeFillShade="F2"/>
          </w:tcPr>
          <w:p w14:paraId="38BEA751" w14:textId="38BC317A" w:rsidR="00E521FB" w:rsidRPr="00F15939" w:rsidRDefault="00E521FB" w:rsidP="007128D8">
            <w:pPr>
              <w:spacing w:before="120" w:after="120"/>
              <w:rPr>
                <w:rFonts w:ascii="Verdana" w:hAnsi="Verdana"/>
              </w:rPr>
            </w:pPr>
            <w:r w:rsidRPr="00F15939">
              <w:rPr>
                <w:rFonts w:ascii="Verdana" w:hAnsi="Verdana"/>
              </w:rPr>
              <w:t>Clinical (Mandatory Professional Practice)</w:t>
            </w:r>
          </w:p>
        </w:tc>
        <w:tc>
          <w:tcPr>
            <w:tcW w:w="2036" w:type="pct"/>
            <w:tcBorders>
              <w:top w:val="single" w:sz="4" w:space="0" w:color="74002C" w:themeColor="accent1"/>
              <w:bottom w:val="single" w:sz="4" w:space="0" w:color="74002C" w:themeColor="accent1"/>
            </w:tcBorders>
            <w:shd w:val="clear" w:color="auto" w:fill="F2F2F2" w:themeFill="background1" w:themeFillShade="F2"/>
          </w:tcPr>
          <w:p w14:paraId="493B092B" w14:textId="5C962AB4" w:rsidR="00E521FB" w:rsidRPr="00F15939" w:rsidRDefault="00E521FB" w:rsidP="007128D8">
            <w:pPr>
              <w:tabs>
                <w:tab w:val="left" w:pos="1500"/>
              </w:tabs>
              <w:spacing w:before="120" w:after="120"/>
              <w:rPr>
                <w:rFonts w:ascii="Verdana" w:hAnsi="Verdana"/>
              </w:rPr>
            </w:pPr>
            <w:r w:rsidRPr="00F15939">
              <w:rPr>
                <w:rFonts w:ascii="Verdana" w:hAnsi="Verdana"/>
              </w:rPr>
              <w:t>Required as part of a health program of study with a scheduled number of unpaid hours in an environment that provides healthcare or related services to patients or the public. Clinical placements are an integral component of the curriculum and necessary for a professional association and accreditation. Placements can take place in primary, secondary, or community healthcare or social care settings.</w:t>
            </w:r>
          </w:p>
        </w:tc>
        <w:tc>
          <w:tcPr>
            <w:tcW w:w="2152" w:type="pct"/>
            <w:tcBorders>
              <w:top w:val="single" w:sz="4" w:space="0" w:color="74002C" w:themeColor="accent1"/>
              <w:bottom w:val="single" w:sz="4" w:space="0" w:color="74002C" w:themeColor="accent1"/>
            </w:tcBorders>
            <w:shd w:val="clear" w:color="auto" w:fill="F2F2F2" w:themeFill="background1" w:themeFillShade="F2"/>
          </w:tcPr>
          <w:p w14:paraId="51E134FC" w14:textId="5B35EB4A" w:rsidR="00E521FB" w:rsidRPr="00D847FB" w:rsidRDefault="00E521FB" w:rsidP="007128D8">
            <w:pPr>
              <w:pStyle w:val="ListParagraph"/>
              <w:numPr>
                <w:ilvl w:val="0"/>
                <w:numId w:val="8"/>
              </w:numPr>
              <w:tabs>
                <w:tab w:val="left" w:pos="1236"/>
              </w:tabs>
              <w:spacing w:before="120" w:after="120"/>
              <w:ind w:left="342"/>
              <w:rPr>
                <w:rFonts w:ascii="Verdana" w:hAnsi="Verdana"/>
              </w:rPr>
            </w:pPr>
            <w:r w:rsidRPr="00D847FB">
              <w:rPr>
                <w:rFonts w:ascii="Verdana" w:hAnsi="Verdana"/>
              </w:rPr>
              <w:t xml:space="preserve">Please connect with the program coordinator to learn about how these hours will be achieved. </w:t>
            </w:r>
          </w:p>
          <w:p w14:paraId="144C3A5A" w14:textId="4B673821" w:rsidR="00E521FB" w:rsidRPr="00F15939" w:rsidRDefault="00E521FB" w:rsidP="007128D8">
            <w:pPr>
              <w:tabs>
                <w:tab w:val="left" w:pos="1236"/>
              </w:tabs>
              <w:spacing w:before="120" w:after="120"/>
              <w:rPr>
                <w:rFonts w:ascii="Verdana" w:hAnsi="Verdana"/>
              </w:rPr>
            </w:pPr>
          </w:p>
        </w:tc>
      </w:tr>
      <w:tr w:rsidR="00E521FB" w:rsidRPr="00F15939" w14:paraId="69861673" w14:textId="77777777" w:rsidTr="00BA364D">
        <w:trPr>
          <w:cantSplit/>
        </w:trPr>
        <w:tc>
          <w:tcPr>
            <w:tcW w:w="812" w:type="pct"/>
            <w:tcBorders>
              <w:top w:val="single" w:sz="4" w:space="0" w:color="74002C" w:themeColor="accent1"/>
              <w:bottom w:val="single" w:sz="4" w:space="0" w:color="74002C" w:themeColor="accent1"/>
            </w:tcBorders>
          </w:tcPr>
          <w:p w14:paraId="06D0DA5A" w14:textId="1F6F14F8" w:rsidR="00E521FB" w:rsidRPr="00F15939" w:rsidRDefault="00E521FB" w:rsidP="007128D8">
            <w:pPr>
              <w:spacing w:before="120" w:after="120"/>
              <w:rPr>
                <w:rFonts w:ascii="Verdana" w:hAnsi="Verdana"/>
              </w:rPr>
            </w:pPr>
            <w:r w:rsidRPr="00F15939">
              <w:rPr>
                <w:rFonts w:ascii="Verdana" w:hAnsi="Verdana"/>
              </w:rPr>
              <w:lastRenderedPageBreak/>
              <w:t>Co-operative Education</w:t>
            </w:r>
          </w:p>
        </w:tc>
        <w:tc>
          <w:tcPr>
            <w:tcW w:w="2036" w:type="pct"/>
            <w:tcBorders>
              <w:top w:val="single" w:sz="4" w:space="0" w:color="74002C" w:themeColor="accent1"/>
              <w:bottom w:val="single" w:sz="4" w:space="0" w:color="74002C" w:themeColor="accent1"/>
            </w:tcBorders>
          </w:tcPr>
          <w:p w14:paraId="15555EBA" w14:textId="77D403D8" w:rsidR="00E521FB" w:rsidRPr="00F15939" w:rsidRDefault="00E521FB" w:rsidP="007128D8">
            <w:pPr>
              <w:spacing w:before="120" w:after="120"/>
              <w:rPr>
                <w:rFonts w:ascii="Verdana" w:hAnsi="Verdana"/>
              </w:rPr>
            </w:pPr>
            <w:r w:rsidRPr="00F15939">
              <w:rPr>
                <w:rFonts w:ascii="Verdana" w:hAnsi="Verdana"/>
              </w:rPr>
              <w:t>Co-operative education alternates periods of academic study with periods of work; beginning and ending on an academic term. Paid work terms provide students with an opportunity for substantial and relevant work experience that complements academic study. A minimum of 12 weeks and/or 420 work hours is required during each four-month work term. Work terms must account for at least 30% of the time for academic programs over 3 years and 25% of the time for programs 2 years or less. The student’s performance in the workplace is supervised by the employer and is evaluated by Co-operative education, as part of their academic program of study.</w:t>
            </w:r>
          </w:p>
        </w:tc>
        <w:tc>
          <w:tcPr>
            <w:tcW w:w="2152" w:type="pct"/>
            <w:tcBorders>
              <w:top w:val="single" w:sz="4" w:space="0" w:color="74002C" w:themeColor="accent1"/>
              <w:bottom w:val="single" w:sz="4" w:space="0" w:color="74002C" w:themeColor="accent1"/>
            </w:tcBorders>
          </w:tcPr>
          <w:p w14:paraId="0CA2157A" w14:textId="77777777" w:rsidR="00E521FB" w:rsidRPr="00F15939" w:rsidRDefault="00E521FB" w:rsidP="007128D8">
            <w:pPr>
              <w:numPr>
                <w:ilvl w:val="0"/>
                <w:numId w:val="9"/>
              </w:numPr>
              <w:spacing w:before="120" w:after="120"/>
              <w:ind w:left="342"/>
              <w:rPr>
                <w:rFonts w:ascii="Verdana" w:hAnsi="Verdana"/>
              </w:rPr>
            </w:pPr>
            <w:proofErr w:type="spellStart"/>
            <w:r w:rsidRPr="00F15939">
              <w:rPr>
                <w:rFonts w:ascii="Verdana" w:hAnsi="Verdana"/>
              </w:rPr>
              <w:t>eCo</w:t>
            </w:r>
            <w:proofErr w:type="spellEnd"/>
            <w:r w:rsidRPr="00F15939">
              <w:rPr>
                <w:rFonts w:ascii="Verdana" w:hAnsi="Verdana"/>
              </w:rPr>
              <w:t xml:space="preserve">-op and remote options are available. </w:t>
            </w:r>
          </w:p>
          <w:p w14:paraId="411EAD0E" w14:textId="77777777" w:rsidR="00E521FB" w:rsidRPr="00F15939" w:rsidRDefault="00E521FB" w:rsidP="007128D8">
            <w:pPr>
              <w:numPr>
                <w:ilvl w:val="1"/>
                <w:numId w:val="9"/>
              </w:numPr>
              <w:spacing w:before="120" w:after="120"/>
              <w:ind w:left="702"/>
              <w:rPr>
                <w:rFonts w:ascii="Verdana" w:hAnsi="Verdana"/>
              </w:rPr>
            </w:pPr>
            <w:r w:rsidRPr="00F15939">
              <w:rPr>
                <w:rFonts w:ascii="Verdana" w:hAnsi="Verdana"/>
              </w:rPr>
              <w:t xml:space="preserve">For </w:t>
            </w:r>
            <w:proofErr w:type="spellStart"/>
            <w:r w:rsidRPr="00F15939">
              <w:rPr>
                <w:rFonts w:ascii="Verdana" w:hAnsi="Verdana"/>
              </w:rPr>
              <w:t>eCo</w:t>
            </w:r>
            <w:proofErr w:type="spellEnd"/>
            <w:r w:rsidRPr="00F15939">
              <w:rPr>
                <w:rFonts w:ascii="Verdana" w:hAnsi="Verdana"/>
              </w:rPr>
              <w:t xml:space="preserve">-op information, please connect with </w:t>
            </w:r>
            <w:hyperlink r:id="rId22" w:history="1">
              <w:r w:rsidRPr="00F15939">
                <w:rPr>
                  <w:rStyle w:val="Hyperlink"/>
                  <w:rFonts w:ascii="Verdana" w:hAnsi="Verdana"/>
                </w:rPr>
                <w:t>Julie Farnand</w:t>
              </w:r>
            </w:hyperlink>
            <w:r w:rsidRPr="00F15939">
              <w:rPr>
                <w:rFonts w:ascii="Verdana" w:hAnsi="Verdana"/>
              </w:rPr>
              <w:t xml:space="preserve">. </w:t>
            </w:r>
          </w:p>
          <w:p w14:paraId="50E1D3B7" w14:textId="2F4AE761" w:rsidR="008B5CA6" w:rsidRPr="00F15939" w:rsidRDefault="00E521FB" w:rsidP="007128D8">
            <w:pPr>
              <w:numPr>
                <w:ilvl w:val="1"/>
                <w:numId w:val="9"/>
              </w:numPr>
              <w:spacing w:before="120" w:after="120"/>
              <w:ind w:left="702"/>
              <w:rPr>
                <w:rFonts w:ascii="Verdana" w:hAnsi="Verdana"/>
              </w:rPr>
            </w:pPr>
            <w:r w:rsidRPr="00F15939">
              <w:rPr>
                <w:rFonts w:ascii="Verdana" w:hAnsi="Verdana"/>
              </w:rPr>
              <w:t xml:space="preserve">For remote co-op opportunities, </w:t>
            </w:r>
            <w:r w:rsidR="00CE7131">
              <w:rPr>
                <w:rFonts w:ascii="Verdana" w:hAnsi="Verdana"/>
              </w:rPr>
              <w:t>p</w:t>
            </w:r>
            <w:r w:rsidRPr="00F15939">
              <w:rPr>
                <w:rFonts w:ascii="Verdana" w:hAnsi="Verdana"/>
              </w:rPr>
              <w:t xml:space="preserve">lease connect with the program’s </w:t>
            </w:r>
            <w:hyperlink r:id="rId23" w:history="1">
              <w:r w:rsidRPr="00F15939">
                <w:rPr>
                  <w:rStyle w:val="Hyperlink"/>
                  <w:rFonts w:ascii="Verdana" w:hAnsi="Verdana"/>
                </w:rPr>
                <w:t>Co-op Specialist</w:t>
              </w:r>
            </w:hyperlink>
            <w:r w:rsidRPr="00F15939">
              <w:rPr>
                <w:rFonts w:ascii="Verdana" w:hAnsi="Verdana"/>
              </w:rPr>
              <w:t xml:space="preserve"> for more details. </w:t>
            </w:r>
          </w:p>
          <w:p w14:paraId="071FC99C" w14:textId="77777777" w:rsidR="00E521FB" w:rsidRPr="00F15939" w:rsidRDefault="00E521FB" w:rsidP="007128D8">
            <w:pPr>
              <w:spacing w:before="120" w:after="120"/>
              <w:rPr>
                <w:rFonts w:ascii="Verdana" w:hAnsi="Verdana"/>
              </w:rPr>
            </w:pPr>
          </w:p>
        </w:tc>
      </w:tr>
      <w:tr w:rsidR="007128D8" w:rsidRPr="00F15939" w14:paraId="140ED771" w14:textId="77777777" w:rsidTr="00BA364D">
        <w:trPr>
          <w:cantSplit/>
        </w:trPr>
        <w:tc>
          <w:tcPr>
            <w:tcW w:w="812" w:type="pct"/>
            <w:tcBorders>
              <w:top w:val="single" w:sz="4" w:space="0" w:color="74002C" w:themeColor="accent1"/>
              <w:bottom w:val="single" w:sz="4" w:space="0" w:color="74002C" w:themeColor="accent1"/>
            </w:tcBorders>
            <w:shd w:val="clear" w:color="auto" w:fill="F2F2F2" w:themeFill="background1" w:themeFillShade="F2"/>
          </w:tcPr>
          <w:p w14:paraId="58181D22" w14:textId="085331AC" w:rsidR="00E521FB" w:rsidRPr="00F15939" w:rsidRDefault="00E521FB" w:rsidP="007128D8">
            <w:pPr>
              <w:spacing w:before="120" w:after="120"/>
              <w:rPr>
                <w:rFonts w:ascii="Verdana" w:hAnsi="Verdana"/>
              </w:rPr>
            </w:pPr>
            <w:r w:rsidRPr="00F15939">
              <w:rPr>
                <w:rFonts w:ascii="Verdana" w:hAnsi="Verdana"/>
              </w:rPr>
              <w:t>Field Experience</w:t>
            </w:r>
          </w:p>
        </w:tc>
        <w:tc>
          <w:tcPr>
            <w:tcW w:w="2036" w:type="pct"/>
            <w:tcBorders>
              <w:top w:val="single" w:sz="4" w:space="0" w:color="74002C" w:themeColor="accent1"/>
              <w:bottom w:val="single" w:sz="4" w:space="0" w:color="74002C" w:themeColor="accent1"/>
            </w:tcBorders>
            <w:shd w:val="clear" w:color="auto" w:fill="F2F2F2" w:themeFill="background1" w:themeFillShade="F2"/>
          </w:tcPr>
          <w:p w14:paraId="302275A6" w14:textId="70828AB8" w:rsidR="00E521FB" w:rsidRPr="00F15939" w:rsidRDefault="00E521FB" w:rsidP="007128D8">
            <w:pPr>
              <w:spacing w:before="120" w:after="120"/>
              <w:rPr>
                <w:rFonts w:ascii="Verdana" w:hAnsi="Verdana"/>
              </w:rPr>
            </w:pPr>
            <w:r w:rsidRPr="00F15939">
              <w:rPr>
                <w:rFonts w:ascii="Verdana" w:hAnsi="Verdana"/>
              </w:rPr>
              <w:t>Students explore academic content in a purposeful way outside the classroom through short-term field trips/field-work/site visits or through intensive and immersive experiences.</w:t>
            </w:r>
          </w:p>
        </w:tc>
        <w:tc>
          <w:tcPr>
            <w:tcW w:w="2152" w:type="pct"/>
            <w:tcBorders>
              <w:top w:val="single" w:sz="4" w:space="0" w:color="74002C" w:themeColor="accent1"/>
              <w:bottom w:val="single" w:sz="4" w:space="0" w:color="74002C" w:themeColor="accent1"/>
            </w:tcBorders>
            <w:shd w:val="clear" w:color="auto" w:fill="F2F2F2" w:themeFill="background1" w:themeFillShade="F2"/>
          </w:tcPr>
          <w:p w14:paraId="7D3D1ACE" w14:textId="77777777" w:rsidR="00E521FB" w:rsidRPr="00D847FB" w:rsidRDefault="00E521FB" w:rsidP="007128D8">
            <w:pPr>
              <w:pStyle w:val="ListParagraph"/>
              <w:numPr>
                <w:ilvl w:val="0"/>
                <w:numId w:val="9"/>
              </w:numPr>
              <w:spacing w:before="120" w:after="120"/>
              <w:ind w:left="342"/>
              <w:rPr>
                <w:rFonts w:ascii="Verdana" w:hAnsi="Verdana"/>
              </w:rPr>
            </w:pPr>
            <w:r w:rsidRPr="00D847FB">
              <w:rPr>
                <w:rFonts w:ascii="Verdana" w:hAnsi="Verdana"/>
              </w:rPr>
              <w:t>Online field experience. Take your students on a virtual experience through a variety of options:</w:t>
            </w:r>
          </w:p>
          <w:p w14:paraId="2C3A5C94" w14:textId="77777777" w:rsidR="00E521FB" w:rsidRPr="00F15939" w:rsidRDefault="00E521FB" w:rsidP="007128D8">
            <w:pPr>
              <w:numPr>
                <w:ilvl w:val="1"/>
                <w:numId w:val="10"/>
              </w:numPr>
              <w:spacing w:before="120" w:after="120"/>
              <w:ind w:left="702"/>
              <w:rPr>
                <w:rFonts w:ascii="Verdana" w:hAnsi="Verdana"/>
              </w:rPr>
            </w:pPr>
            <w:r w:rsidRPr="00F15939">
              <w:rPr>
                <w:rFonts w:ascii="Verdana" w:hAnsi="Verdana"/>
              </w:rPr>
              <w:t xml:space="preserve">Create your own virtual tour using </w:t>
            </w:r>
            <w:hyperlink r:id="rId24" w:history="1">
              <w:r w:rsidRPr="00F15939">
                <w:rPr>
                  <w:rStyle w:val="Hyperlink"/>
                  <w:rFonts w:ascii="Verdana" w:hAnsi="Verdana"/>
                </w:rPr>
                <w:t>Google Tour Creator</w:t>
              </w:r>
            </w:hyperlink>
            <w:r w:rsidRPr="00F15939">
              <w:rPr>
                <w:rFonts w:ascii="Verdana" w:hAnsi="Verdana"/>
              </w:rPr>
              <w:t xml:space="preserve"> and/or through a synchronous Google maps tour in your online class.</w:t>
            </w:r>
          </w:p>
          <w:p w14:paraId="55FE6A76" w14:textId="77777777" w:rsidR="00E521FB" w:rsidRPr="00F15939" w:rsidRDefault="00E521FB" w:rsidP="007128D8">
            <w:pPr>
              <w:numPr>
                <w:ilvl w:val="1"/>
                <w:numId w:val="10"/>
              </w:numPr>
              <w:spacing w:before="120" w:after="120"/>
              <w:ind w:left="702"/>
              <w:rPr>
                <w:rFonts w:ascii="Verdana" w:hAnsi="Verdana"/>
              </w:rPr>
            </w:pPr>
            <w:r w:rsidRPr="00F15939">
              <w:rPr>
                <w:rFonts w:ascii="Verdana" w:hAnsi="Verdana"/>
              </w:rPr>
              <w:t xml:space="preserve">Locate and use one of the many virtual field trips found on Google’s Virtual &amp; Augmented Reality’s list of </w:t>
            </w:r>
            <w:hyperlink r:id="rId25" w:anchor="gid=0" w:history="1">
              <w:r w:rsidRPr="00F15939">
                <w:rPr>
                  <w:rStyle w:val="Hyperlink"/>
                  <w:rFonts w:ascii="Verdana" w:hAnsi="Verdana"/>
                </w:rPr>
                <w:t>Virtual Reality Expeditions</w:t>
              </w:r>
            </w:hyperlink>
            <w:r w:rsidRPr="00F15939">
              <w:rPr>
                <w:rFonts w:ascii="Verdana" w:hAnsi="Verdana"/>
              </w:rPr>
              <w:t>.</w:t>
            </w:r>
          </w:p>
          <w:p w14:paraId="1C4722C3" w14:textId="77777777" w:rsidR="00E521FB" w:rsidRPr="00F15939" w:rsidRDefault="00E521FB" w:rsidP="007128D8">
            <w:pPr>
              <w:numPr>
                <w:ilvl w:val="1"/>
                <w:numId w:val="10"/>
              </w:numPr>
              <w:spacing w:before="120" w:after="120"/>
              <w:ind w:left="702"/>
              <w:rPr>
                <w:rFonts w:ascii="Verdana" w:hAnsi="Verdana"/>
              </w:rPr>
            </w:pPr>
            <w:r w:rsidRPr="00F15939">
              <w:rPr>
                <w:rFonts w:ascii="Verdana" w:hAnsi="Verdana"/>
              </w:rPr>
              <w:t xml:space="preserve">Locate and use one of the many virtual field trips found on Google’s Virtual &amp; Augmented Reality’s list of </w:t>
            </w:r>
            <w:hyperlink r:id="rId26" w:anchor="gid=765151678" w:history="1">
              <w:r w:rsidRPr="00F15939">
                <w:rPr>
                  <w:rStyle w:val="Hyperlink"/>
                  <w:rFonts w:ascii="Verdana" w:hAnsi="Verdana"/>
                </w:rPr>
                <w:t>Augmented Reality’s Expeditions</w:t>
              </w:r>
            </w:hyperlink>
            <w:r w:rsidRPr="00F15939">
              <w:rPr>
                <w:rFonts w:ascii="Verdana" w:hAnsi="Verdana"/>
              </w:rPr>
              <w:t>.</w:t>
            </w:r>
          </w:p>
          <w:p w14:paraId="700D49E9" w14:textId="77777777" w:rsidR="00E521FB" w:rsidRPr="00F15939" w:rsidRDefault="00E521FB" w:rsidP="007128D8">
            <w:pPr>
              <w:numPr>
                <w:ilvl w:val="1"/>
                <w:numId w:val="10"/>
              </w:numPr>
              <w:spacing w:before="120" w:after="120"/>
              <w:ind w:left="702"/>
              <w:rPr>
                <w:rFonts w:ascii="Verdana" w:hAnsi="Verdana"/>
              </w:rPr>
            </w:pPr>
            <w:r w:rsidRPr="00F15939">
              <w:rPr>
                <w:rFonts w:ascii="Verdana" w:hAnsi="Verdana"/>
              </w:rPr>
              <w:t xml:space="preserve">For geological fieldtrips, use </w:t>
            </w:r>
            <w:hyperlink r:id="rId27" w:history="1">
              <w:r w:rsidRPr="00F15939">
                <w:rPr>
                  <w:rStyle w:val="Hyperlink"/>
                  <w:rFonts w:ascii="Verdana" w:hAnsi="Verdana"/>
                </w:rPr>
                <w:t>Streetcar 2 Subduction</w:t>
              </w:r>
            </w:hyperlink>
            <w:r w:rsidRPr="00F15939">
              <w:rPr>
                <w:rFonts w:ascii="Verdana" w:hAnsi="Verdana"/>
              </w:rPr>
              <w:t>.</w:t>
            </w:r>
          </w:p>
          <w:p w14:paraId="3508220B" w14:textId="11FCD3E5" w:rsidR="00E521FB" w:rsidRPr="00F15939" w:rsidRDefault="00E521FB" w:rsidP="00791466">
            <w:pPr>
              <w:numPr>
                <w:ilvl w:val="1"/>
                <w:numId w:val="10"/>
              </w:numPr>
              <w:spacing w:before="120" w:after="120"/>
              <w:ind w:left="702"/>
              <w:rPr>
                <w:rFonts w:ascii="Verdana" w:hAnsi="Verdana"/>
              </w:rPr>
            </w:pPr>
            <w:r w:rsidRPr="00F15939">
              <w:rPr>
                <w:rFonts w:ascii="Verdana" w:hAnsi="Verdana"/>
              </w:rPr>
              <w:t xml:space="preserve">For geoscience-related field experiences, use </w:t>
            </w:r>
            <w:hyperlink r:id="rId28" w:anchor="gid=1948143940" w:history="1">
              <w:r w:rsidRPr="00F15939">
                <w:rPr>
                  <w:rStyle w:val="Hyperlink"/>
                  <w:rFonts w:ascii="Verdana" w:hAnsi="Verdana"/>
                </w:rPr>
                <w:t>Geoscience Online Teaching Resources</w:t>
              </w:r>
            </w:hyperlink>
            <w:r w:rsidRPr="00F15939">
              <w:rPr>
                <w:rFonts w:ascii="Verdana" w:hAnsi="Verdana"/>
              </w:rPr>
              <w:t xml:space="preserve">. </w:t>
            </w:r>
          </w:p>
        </w:tc>
      </w:tr>
      <w:tr w:rsidR="00E521FB" w:rsidRPr="00F15939" w14:paraId="5BBE5499" w14:textId="77777777" w:rsidTr="00BA364D">
        <w:trPr>
          <w:cantSplit/>
        </w:trPr>
        <w:tc>
          <w:tcPr>
            <w:tcW w:w="812" w:type="pct"/>
            <w:tcBorders>
              <w:top w:val="single" w:sz="4" w:space="0" w:color="74002C" w:themeColor="accent1"/>
              <w:bottom w:val="single" w:sz="4" w:space="0" w:color="74002C" w:themeColor="accent1"/>
            </w:tcBorders>
          </w:tcPr>
          <w:p w14:paraId="186BBC8E" w14:textId="3211C34A" w:rsidR="00E521FB" w:rsidRPr="00F15939" w:rsidRDefault="00E521FB" w:rsidP="007128D8">
            <w:pPr>
              <w:spacing w:before="120" w:after="120"/>
              <w:rPr>
                <w:rFonts w:ascii="Verdana" w:hAnsi="Verdana"/>
              </w:rPr>
            </w:pPr>
            <w:r w:rsidRPr="00F15939">
              <w:rPr>
                <w:rFonts w:ascii="Verdana" w:hAnsi="Verdana"/>
              </w:rPr>
              <w:t>Field Placement</w:t>
            </w:r>
          </w:p>
        </w:tc>
        <w:tc>
          <w:tcPr>
            <w:tcW w:w="2036" w:type="pct"/>
            <w:tcBorders>
              <w:top w:val="single" w:sz="4" w:space="0" w:color="74002C" w:themeColor="accent1"/>
              <w:bottom w:val="single" w:sz="4" w:space="0" w:color="74002C" w:themeColor="accent1"/>
            </w:tcBorders>
          </w:tcPr>
          <w:p w14:paraId="782D5765" w14:textId="2B59B02A" w:rsidR="00E521FB" w:rsidRPr="00F15939" w:rsidRDefault="00E521FB" w:rsidP="00791466">
            <w:pPr>
              <w:spacing w:before="120" w:after="120"/>
              <w:rPr>
                <w:rFonts w:ascii="Verdana" w:hAnsi="Verdana"/>
              </w:rPr>
            </w:pPr>
            <w:r w:rsidRPr="00F15939">
              <w:rPr>
                <w:rFonts w:ascii="Verdana" w:hAnsi="Verdana"/>
              </w:rPr>
              <w:t>Scheduled hours of activities intended to give students hands-on experience in the workplace. Students are not expected to receive a regular salary. Field placements account for work-integrated education experiences not encompassed by other forms such as co-op, clinic, practicum, and internship.</w:t>
            </w:r>
          </w:p>
        </w:tc>
        <w:tc>
          <w:tcPr>
            <w:tcW w:w="2152" w:type="pct"/>
            <w:tcBorders>
              <w:top w:val="single" w:sz="4" w:space="0" w:color="74002C" w:themeColor="accent1"/>
              <w:bottom w:val="single" w:sz="4" w:space="0" w:color="74002C" w:themeColor="accent1"/>
            </w:tcBorders>
          </w:tcPr>
          <w:p w14:paraId="65527977" w14:textId="1738BCE5" w:rsidR="00E521FB" w:rsidRPr="00D847FB" w:rsidRDefault="00E521FB" w:rsidP="007128D8">
            <w:pPr>
              <w:pStyle w:val="ListParagraph"/>
              <w:numPr>
                <w:ilvl w:val="0"/>
                <w:numId w:val="10"/>
              </w:numPr>
              <w:tabs>
                <w:tab w:val="left" w:pos="924"/>
              </w:tabs>
              <w:spacing w:before="120" w:after="120"/>
              <w:ind w:left="342"/>
              <w:rPr>
                <w:rFonts w:ascii="Verdana" w:hAnsi="Verdana"/>
              </w:rPr>
            </w:pPr>
            <w:r w:rsidRPr="00D847FB">
              <w:rPr>
                <w:rFonts w:ascii="Verdana" w:hAnsi="Verdana"/>
              </w:rPr>
              <w:t>Remote field placements available. Please connect with your program’s Field Placement Specialist for more details.</w:t>
            </w:r>
          </w:p>
        </w:tc>
      </w:tr>
      <w:tr w:rsidR="007128D8" w:rsidRPr="00F15939" w14:paraId="3043EAAF" w14:textId="77777777" w:rsidTr="00BA364D">
        <w:trPr>
          <w:cantSplit/>
        </w:trPr>
        <w:tc>
          <w:tcPr>
            <w:tcW w:w="812" w:type="pct"/>
            <w:tcBorders>
              <w:top w:val="single" w:sz="4" w:space="0" w:color="74002C" w:themeColor="accent1"/>
              <w:bottom w:val="single" w:sz="4" w:space="0" w:color="74002C" w:themeColor="accent1"/>
            </w:tcBorders>
            <w:shd w:val="clear" w:color="auto" w:fill="F2F2F2" w:themeFill="background1" w:themeFillShade="F2"/>
          </w:tcPr>
          <w:p w14:paraId="2FC06B31" w14:textId="5A47C1E3" w:rsidR="00E521FB" w:rsidRPr="00F15939" w:rsidRDefault="00E521FB" w:rsidP="007128D8">
            <w:pPr>
              <w:spacing w:before="120" w:after="120"/>
              <w:rPr>
                <w:rFonts w:ascii="Verdana" w:hAnsi="Verdana"/>
              </w:rPr>
            </w:pPr>
            <w:r w:rsidRPr="00F15939">
              <w:rPr>
                <w:rFonts w:ascii="Verdana" w:hAnsi="Verdana"/>
              </w:rPr>
              <w:lastRenderedPageBreak/>
              <w:t>Industry or Community Project</w:t>
            </w:r>
          </w:p>
        </w:tc>
        <w:tc>
          <w:tcPr>
            <w:tcW w:w="2036" w:type="pct"/>
            <w:tcBorders>
              <w:top w:val="single" w:sz="4" w:space="0" w:color="74002C" w:themeColor="accent1"/>
              <w:bottom w:val="single" w:sz="4" w:space="0" w:color="74002C" w:themeColor="accent1"/>
            </w:tcBorders>
            <w:shd w:val="clear" w:color="auto" w:fill="F2F2F2" w:themeFill="background1" w:themeFillShade="F2"/>
          </w:tcPr>
          <w:p w14:paraId="03DD0913" w14:textId="6333E1F3" w:rsidR="00E521FB" w:rsidRPr="00F15939" w:rsidRDefault="00E521FB" w:rsidP="007128D8">
            <w:pPr>
              <w:spacing w:before="120" w:after="120"/>
              <w:rPr>
                <w:rFonts w:ascii="Verdana" w:hAnsi="Verdana"/>
              </w:rPr>
            </w:pPr>
            <w:r w:rsidRPr="00F15939">
              <w:rPr>
                <w:rFonts w:ascii="Verdana" w:hAnsi="Verdana"/>
              </w:rPr>
              <w:t>Students work with an organization, business, or industry within a classroom setting to explore challenges or opportunities and develop solutions and/or strategies to respond to identified challenges.</w:t>
            </w:r>
          </w:p>
        </w:tc>
        <w:tc>
          <w:tcPr>
            <w:tcW w:w="2152" w:type="pct"/>
            <w:tcBorders>
              <w:top w:val="single" w:sz="4" w:space="0" w:color="74002C" w:themeColor="accent1"/>
              <w:bottom w:val="single" w:sz="4" w:space="0" w:color="74002C" w:themeColor="accent1"/>
            </w:tcBorders>
            <w:shd w:val="clear" w:color="auto" w:fill="F2F2F2" w:themeFill="background1" w:themeFillShade="F2"/>
          </w:tcPr>
          <w:p w14:paraId="232348CE" w14:textId="77777777" w:rsidR="00E521FB" w:rsidRPr="00F15939" w:rsidRDefault="00E521FB" w:rsidP="007128D8">
            <w:pPr>
              <w:numPr>
                <w:ilvl w:val="0"/>
                <w:numId w:val="2"/>
              </w:numPr>
              <w:spacing w:before="120" w:after="120"/>
              <w:rPr>
                <w:rFonts w:ascii="Verdana" w:hAnsi="Verdana"/>
              </w:rPr>
            </w:pPr>
            <w:r w:rsidRPr="00F15939">
              <w:rPr>
                <w:rFonts w:ascii="Verdana" w:hAnsi="Verdana"/>
              </w:rPr>
              <w:t xml:space="preserve">Online projects. Connect remotely with external organizations for students to develop and/or complete projects. Supporting tools include Zoom and Microsoft Teams. </w:t>
            </w:r>
          </w:p>
          <w:p w14:paraId="1BACCF12" w14:textId="77777777" w:rsidR="00E521FB" w:rsidRPr="00F15939" w:rsidRDefault="00593100" w:rsidP="007128D8">
            <w:pPr>
              <w:numPr>
                <w:ilvl w:val="0"/>
                <w:numId w:val="2"/>
              </w:numPr>
              <w:spacing w:before="120" w:after="120"/>
              <w:rPr>
                <w:rFonts w:ascii="Verdana" w:hAnsi="Verdana"/>
              </w:rPr>
            </w:pPr>
            <w:hyperlink r:id="rId29" w:history="1">
              <w:proofErr w:type="spellStart"/>
              <w:r w:rsidR="00E521FB" w:rsidRPr="00F15939">
                <w:rPr>
                  <w:rStyle w:val="Hyperlink"/>
                  <w:rFonts w:ascii="Verdana" w:hAnsi="Verdana"/>
                </w:rPr>
                <w:t>Riipen</w:t>
              </w:r>
              <w:proofErr w:type="spellEnd"/>
            </w:hyperlink>
            <w:r w:rsidR="00E521FB" w:rsidRPr="00F15939">
              <w:rPr>
                <w:rFonts w:ascii="Verdana" w:hAnsi="Verdana"/>
              </w:rPr>
              <w:t xml:space="preserve">. Apply for/post a project and connect with organizations all-over the world. All project management is hosted and completed on this platform, which Mohawk has secured a license for students. </w:t>
            </w:r>
          </w:p>
          <w:p w14:paraId="4F909CE9" w14:textId="77777777" w:rsidR="00E521FB" w:rsidRPr="00F15939" w:rsidRDefault="00593100" w:rsidP="007128D8">
            <w:pPr>
              <w:numPr>
                <w:ilvl w:val="0"/>
                <w:numId w:val="2"/>
              </w:numPr>
              <w:spacing w:before="120" w:after="120"/>
              <w:rPr>
                <w:rFonts w:ascii="Verdana" w:hAnsi="Verdana"/>
              </w:rPr>
            </w:pPr>
            <w:hyperlink r:id="rId30" w:history="1">
              <w:proofErr w:type="spellStart"/>
              <w:r w:rsidR="00E521FB" w:rsidRPr="00F15939">
                <w:rPr>
                  <w:rStyle w:val="Hyperlink"/>
                  <w:rFonts w:ascii="Verdana" w:hAnsi="Verdana"/>
                </w:rPr>
                <w:t>CityLAB</w:t>
              </w:r>
              <w:proofErr w:type="spellEnd"/>
            </w:hyperlink>
            <w:r w:rsidR="00E521FB" w:rsidRPr="00F15939">
              <w:rPr>
                <w:rFonts w:ascii="Verdana" w:hAnsi="Verdana"/>
              </w:rPr>
              <w:t xml:space="preserve">. Connect with Hamilton’s </w:t>
            </w:r>
            <w:proofErr w:type="spellStart"/>
            <w:r w:rsidR="00E521FB" w:rsidRPr="00F15939">
              <w:rPr>
                <w:rFonts w:ascii="Verdana" w:hAnsi="Verdana"/>
              </w:rPr>
              <w:t>CityLAB</w:t>
            </w:r>
            <w:proofErr w:type="spellEnd"/>
            <w:r w:rsidR="00E521FB" w:rsidRPr="00F15939">
              <w:rPr>
                <w:rFonts w:ascii="Verdana" w:hAnsi="Verdana"/>
              </w:rPr>
              <w:t xml:space="preserve"> to see if there is a project available for your students to complete in partnership with the City of Hamilton. </w:t>
            </w:r>
          </w:p>
          <w:p w14:paraId="51B1E250" w14:textId="2AC80909" w:rsidR="00E521FB" w:rsidRPr="00F15939" w:rsidRDefault="00593100" w:rsidP="00791466">
            <w:pPr>
              <w:numPr>
                <w:ilvl w:val="0"/>
                <w:numId w:val="2"/>
              </w:numPr>
              <w:spacing w:before="120" w:after="120"/>
              <w:rPr>
                <w:rFonts w:ascii="Verdana" w:hAnsi="Verdana"/>
              </w:rPr>
            </w:pPr>
            <w:hyperlink r:id="rId31" w:history="1">
              <w:r w:rsidR="00E521FB" w:rsidRPr="00F15939">
                <w:rPr>
                  <w:rStyle w:val="Hyperlink"/>
                  <w:rFonts w:ascii="Verdana" w:hAnsi="Verdana"/>
                </w:rPr>
                <w:t>The Agency</w:t>
              </w:r>
            </w:hyperlink>
            <w:r w:rsidR="00E521FB" w:rsidRPr="00F15939">
              <w:rPr>
                <w:rFonts w:ascii="Verdana" w:hAnsi="Verdana"/>
              </w:rPr>
              <w:t xml:space="preserve">. Connect with The Agency to learn about potential marketing and communication solution project opportunities. </w:t>
            </w:r>
          </w:p>
        </w:tc>
      </w:tr>
      <w:tr w:rsidR="00E521FB" w:rsidRPr="00F15939" w14:paraId="6FF318A9" w14:textId="77777777" w:rsidTr="00791466">
        <w:trPr>
          <w:cantSplit/>
        </w:trPr>
        <w:tc>
          <w:tcPr>
            <w:tcW w:w="812" w:type="pct"/>
            <w:tcBorders>
              <w:top w:val="single" w:sz="4" w:space="0" w:color="74002C" w:themeColor="accent1"/>
              <w:bottom w:val="single" w:sz="4" w:space="0" w:color="74002C" w:themeColor="accent1"/>
            </w:tcBorders>
          </w:tcPr>
          <w:p w14:paraId="388F0A53" w14:textId="15A1EC5A" w:rsidR="00E521FB" w:rsidRPr="00F15939" w:rsidRDefault="00E521FB" w:rsidP="007128D8">
            <w:pPr>
              <w:spacing w:before="120" w:after="120"/>
              <w:rPr>
                <w:rFonts w:ascii="Verdana" w:hAnsi="Verdana"/>
              </w:rPr>
            </w:pPr>
            <w:r w:rsidRPr="00F15939">
              <w:rPr>
                <w:rFonts w:ascii="Verdana" w:hAnsi="Verdana"/>
              </w:rPr>
              <w:t>Internship</w:t>
            </w:r>
          </w:p>
        </w:tc>
        <w:tc>
          <w:tcPr>
            <w:tcW w:w="2036" w:type="pct"/>
            <w:tcBorders>
              <w:top w:val="single" w:sz="4" w:space="0" w:color="74002C" w:themeColor="accent1"/>
              <w:bottom w:val="single" w:sz="4" w:space="0" w:color="74002C" w:themeColor="accent1"/>
            </w:tcBorders>
          </w:tcPr>
          <w:p w14:paraId="628BE851" w14:textId="062B368F" w:rsidR="00E521FB" w:rsidRPr="00F15939" w:rsidRDefault="00F15939" w:rsidP="007128D8">
            <w:pPr>
              <w:spacing w:before="120" w:after="120"/>
              <w:rPr>
                <w:rFonts w:ascii="Verdana" w:hAnsi="Verdana"/>
              </w:rPr>
            </w:pPr>
            <w:r w:rsidRPr="00F15939">
              <w:rPr>
                <w:rFonts w:ascii="Verdana" w:hAnsi="Verdana"/>
              </w:rPr>
              <w:t>A supervised and structured program-related experience in a professional work environment that is offered as single block placement at end of program or single block placement alternating with an academic program. Internships are typically 4, 8, or 12 months long and can either be paid or unpaid.</w:t>
            </w:r>
          </w:p>
        </w:tc>
        <w:tc>
          <w:tcPr>
            <w:tcW w:w="2152" w:type="pct"/>
            <w:tcBorders>
              <w:top w:val="single" w:sz="4" w:space="0" w:color="74002C" w:themeColor="accent1"/>
              <w:bottom w:val="single" w:sz="4" w:space="0" w:color="74002C" w:themeColor="accent1"/>
            </w:tcBorders>
          </w:tcPr>
          <w:p w14:paraId="2C5C6749" w14:textId="00EEE4D3" w:rsidR="00E521FB" w:rsidRPr="00F15939" w:rsidRDefault="00F15939" w:rsidP="007128D8">
            <w:pPr>
              <w:spacing w:before="120" w:after="120"/>
              <w:rPr>
                <w:rFonts w:ascii="Verdana" w:hAnsi="Verdana"/>
              </w:rPr>
            </w:pPr>
            <w:r w:rsidRPr="00F15939">
              <w:rPr>
                <w:rFonts w:ascii="Verdana" w:hAnsi="Verdana"/>
              </w:rPr>
              <w:t>No online options available.</w:t>
            </w:r>
          </w:p>
        </w:tc>
      </w:tr>
      <w:tr w:rsidR="007128D8" w:rsidRPr="00F15939" w14:paraId="5D7F165F" w14:textId="77777777" w:rsidTr="00791466">
        <w:trPr>
          <w:cantSplit/>
        </w:trPr>
        <w:tc>
          <w:tcPr>
            <w:tcW w:w="812" w:type="pct"/>
            <w:tcBorders>
              <w:top w:val="single" w:sz="4" w:space="0" w:color="74002C" w:themeColor="accent1"/>
              <w:bottom w:val="single" w:sz="4" w:space="0" w:color="74002C" w:themeColor="accent1"/>
            </w:tcBorders>
            <w:shd w:val="clear" w:color="auto" w:fill="F2F2F2" w:themeFill="background1" w:themeFillShade="F2"/>
          </w:tcPr>
          <w:p w14:paraId="5C05EDA0" w14:textId="0387CFF3" w:rsidR="00E521FB" w:rsidRPr="00F15939" w:rsidRDefault="00F15939" w:rsidP="007128D8">
            <w:pPr>
              <w:spacing w:before="120" w:after="120"/>
              <w:rPr>
                <w:rFonts w:ascii="Verdana" w:hAnsi="Verdana"/>
              </w:rPr>
            </w:pPr>
            <w:r w:rsidRPr="00F15939">
              <w:rPr>
                <w:rFonts w:ascii="Verdana" w:hAnsi="Verdana"/>
              </w:rPr>
              <w:t>Labs</w:t>
            </w:r>
          </w:p>
        </w:tc>
        <w:tc>
          <w:tcPr>
            <w:tcW w:w="2036" w:type="pct"/>
            <w:tcBorders>
              <w:top w:val="single" w:sz="4" w:space="0" w:color="74002C" w:themeColor="accent1"/>
              <w:bottom w:val="single" w:sz="4" w:space="0" w:color="74002C" w:themeColor="accent1"/>
            </w:tcBorders>
            <w:shd w:val="clear" w:color="auto" w:fill="F2F2F2" w:themeFill="background1" w:themeFillShade="F2"/>
          </w:tcPr>
          <w:p w14:paraId="6A79F20F" w14:textId="570F6693" w:rsidR="00E521FB" w:rsidRPr="00F15939" w:rsidRDefault="00F15939" w:rsidP="00791466">
            <w:pPr>
              <w:spacing w:before="120" w:after="120"/>
              <w:rPr>
                <w:rFonts w:ascii="Verdana" w:hAnsi="Verdana"/>
              </w:rPr>
            </w:pPr>
            <w:r w:rsidRPr="00F15939">
              <w:rPr>
                <w:rFonts w:ascii="Verdana" w:hAnsi="Verdana"/>
              </w:rPr>
              <w:t>In an on-campus controlled lab environment, students will observe, test, measure, apply course concepts, collaborate, and/or experience hands-on learning with tools, equipment, and resources utilized in a specific field or program of study.</w:t>
            </w:r>
          </w:p>
        </w:tc>
        <w:tc>
          <w:tcPr>
            <w:tcW w:w="2152" w:type="pct"/>
            <w:tcBorders>
              <w:top w:val="single" w:sz="4" w:space="0" w:color="74002C" w:themeColor="accent1"/>
              <w:bottom w:val="single" w:sz="4" w:space="0" w:color="74002C" w:themeColor="accent1"/>
            </w:tcBorders>
            <w:shd w:val="clear" w:color="auto" w:fill="F2F2F2" w:themeFill="background1" w:themeFillShade="F2"/>
          </w:tcPr>
          <w:p w14:paraId="5F3D3A30" w14:textId="77777777" w:rsidR="00F15939" w:rsidRPr="00F15939" w:rsidRDefault="00593100" w:rsidP="007128D8">
            <w:pPr>
              <w:pStyle w:val="ListParagraph"/>
              <w:numPr>
                <w:ilvl w:val="0"/>
                <w:numId w:val="5"/>
              </w:numPr>
              <w:spacing w:before="120" w:after="120"/>
              <w:ind w:left="342"/>
              <w:rPr>
                <w:rFonts w:ascii="Verdana" w:hAnsi="Verdana"/>
              </w:rPr>
            </w:pPr>
            <w:hyperlink r:id="rId32" w:history="1">
              <w:proofErr w:type="spellStart"/>
              <w:r w:rsidR="00F15939" w:rsidRPr="00F15939">
                <w:rPr>
                  <w:rStyle w:val="Hyperlink"/>
                  <w:rFonts w:ascii="Verdana" w:hAnsi="Verdana"/>
                </w:rPr>
                <w:t>Labster</w:t>
              </w:r>
              <w:proofErr w:type="spellEnd"/>
            </w:hyperlink>
            <w:r w:rsidR="00F15939" w:rsidRPr="00F15939">
              <w:rPr>
                <w:rFonts w:ascii="Verdana" w:hAnsi="Verdana"/>
              </w:rPr>
              <w:t xml:space="preserve">. Connect with your Associate Dean to see if </w:t>
            </w:r>
            <w:proofErr w:type="spellStart"/>
            <w:r w:rsidR="00F15939" w:rsidRPr="00F15939">
              <w:rPr>
                <w:rFonts w:ascii="Verdana" w:hAnsi="Verdana"/>
              </w:rPr>
              <w:t>Labster</w:t>
            </w:r>
            <w:proofErr w:type="spellEnd"/>
            <w:r w:rsidR="00F15939" w:rsidRPr="00F15939">
              <w:rPr>
                <w:rFonts w:ascii="Verdana" w:hAnsi="Verdana"/>
              </w:rPr>
              <w:t xml:space="preserve"> is an option (cost associated).</w:t>
            </w:r>
          </w:p>
          <w:p w14:paraId="6348089B" w14:textId="77777777" w:rsidR="00E521FB" w:rsidRPr="00F15939" w:rsidRDefault="00E521FB" w:rsidP="007128D8">
            <w:pPr>
              <w:spacing w:before="120" w:after="120"/>
              <w:rPr>
                <w:rFonts w:ascii="Verdana" w:hAnsi="Verdana"/>
              </w:rPr>
            </w:pPr>
          </w:p>
        </w:tc>
      </w:tr>
      <w:tr w:rsidR="00E521FB" w:rsidRPr="00F15939" w14:paraId="441CC6BE" w14:textId="77777777" w:rsidTr="00791466">
        <w:trPr>
          <w:cantSplit/>
        </w:trPr>
        <w:tc>
          <w:tcPr>
            <w:tcW w:w="812" w:type="pct"/>
            <w:tcBorders>
              <w:top w:val="single" w:sz="4" w:space="0" w:color="74002C" w:themeColor="accent1"/>
              <w:bottom w:val="single" w:sz="4" w:space="0" w:color="74002C" w:themeColor="accent1"/>
            </w:tcBorders>
          </w:tcPr>
          <w:p w14:paraId="6FD0F10D" w14:textId="6583969C" w:rsidR="00591686" w:rsidRPr="00F15939" w:rsidRDefault="00791466" w:rsidP="007128D8">
            <w:pPr>
              <w:spacing w:before="120" w:after="120"/>
              <w:rPr>
                <w:rFonts w:ascii="Verdana" w:hAnsi="Verdana"/>
              </w:rPr>
            </w:pPr>
            <w:bookmarkStart w:id="4" w:name="_Toc5085211"/>
            <w:bookmarkStart w:id="5" w:name="_Toc5887546"/>
            <w:bookmarkStart w:id="6" w:name="_Toc6313777"/>
            <w:r w:rsidRPr="00F15939">
              <w:rPr>
                <w:rFonts w:ascii="Verdana" w:hAnsi="Verdana"/>
              </w:rPr>
              <w:t>Performance-based Learning</w:t>
            </w:r>
            <w:bookmarkEnd w:id="4"/>
            <w:bookmarkEnd w:id="5"/>
            <w:bookmarkEnd w:id="6"/>
            <w:r w:rsidRPr="00F15939">
              <w:rPr>
                <w:rFonts w:ascii="Verdana" w:hAnsi="Verdana"/>
              </w:rPr>
              <w:t xml:space="preserve"> </w:t>
            </w:r>
          </w:p>
          <w:p w14:paraId="6F8A2236" w14:textId="77777777" w:rsidR="00E521FB" w:rsidRPr="00F15939" w:rsidRDefault="00E521FB" w:rsidP="007128D8">
            <w:pPr>
              <w:spacing w:before="120" w:after="120"/>
              <w:rPr>
                <w:rFonts w:ascii="Verdana" w:hAnsi="Verdana"/>
              </w:rPr>
            </w:pPr>
          </w:p>
        </w:tc>
        <w:tc>
          <w:tcPr>
            <w:tcW w:w="2036" w:type="pct"/>
            <w:tcBorders>
              <w:top w:val="single" w:sz="4" w:space="0" w:color="74002C" w:themeColor="accent1"/>
              <w:bottom w:val="single" w:sz="4" w:space="0" w:color="74002C" w:themeColor="accent1"/>
            </w:tcBorders>
          </w:tcPr>
          <w:p w14:paraId="214F5A72" w14:textId="04DEFA1C" w:rsidR="00E521FB" w:rsidRPr="00F15939" w:rsidRDefault="00F15939" w:rsidP="00791466">
            <w:pPr>
              <w:spacing w:before="120" w:after="120"/>
              <w:rPr>
                <w:rFonts w:ascii="Verdana" w:hAnsi="Verdana"/>
              </w:rPr>
            </w:pPr>
            <w:r w:rsidRPr="00F15939">
              <w:rPr>
                <w:rFonts w:ascii="Verdana" w:hAnsi="Verdana"/>
              </w:rPr>
              <w:t>Students will produce, manage, curate, or participate in an artistic presentation, musical performance, or portfolio exhibit for an audience.</w:t>
            </w:r>
          </w:p>
        </w:tc>
        <w:tc>
          <w:tcPr>
            <w:tcW w:w="2152" w:type="pct"/>
            <w:tcBorders>
              <w:top w:val="single" w:sz="4" w:space="0" w:color="74002C" w:themeColor="accent1"/>
              <w:bottom w:val="single" w:sz="4" w:space="0" w:color="74002C" w:themeColor="accent1"/>
            </w:tcBorders>
          </w:tcPr>
          <w:p w14:paraId="3316C4A0" w14:textId="77777777" w:rsidR="008B5CA6" w:rsidRPr="00F15939" w:rsidRDefault="00F15939" w:rsidP="007128D8">
            <w:pPr>
              <w:numPr>
                <w:ilvl w:val="0"/>
                <w:numId w:val="5"/>
              </w:numPr>
              <w:spacing w:before="120" w:after="120"/>
              <w:ind w:left="342"/>
              <w:rPr>
                <w:rFonts w:ascii="Verdana" w:hAnsi="Verdana"/>
              </w:rPr>
            </w:pPr>
            <w:r w:rsidRPr="00F15939">
              <w:rPr>
                <w:rFonts w:ascii="Verdana" w:hAnsi="Verdana"/>
              </w:rPr>
              <w:t xml:space="preserve">Online performances. Use synchronous and/or asynchronous technology to have your student complete these activities. </w:t>
            </w:r>
          </w:p>
          <w:p w14:paraId="7C4D7F62" w14:textId="77777777" w:rsidR="00E521FB" w:rsidRPr="00F15939" w:rsidRDefault="00E521FB" w:rsidP="007128D8">
            <w:pPr>
              <w:spacing w:before="120" w:after="120"/>
              <w:rPr>
                <w:rFonts w:ascii="Verdana" w:hAnsi="Verdana"/>
              </w:rPr>
            </w:pPr>
          </w:p>
        </w:tc>
      </w:tr>
      <w:tr w:rsidR="007128D8" w:rsidRPr="00F15939" w14:paraId="40DE78E0" w14:textId="77777777" w:rsidTr="00BA364D">
        <w:trPr>
          <w:cantSplit/>
        </w:trPr>
        <w:tc>
          <w:tcPr>
            <w:tcW w:w="812" w:type="pct"/>
            <w:tcBorders>
              <w:top w:val="single" w:sz="4" w:space="0" w:color="74002C" w:themeColor="accent1"/>
              <w:bottom w:val="single" w:sz="4" w:space="0" w:color="808080"/>
            </w:tcBorders>
            <w:shd w:val="clear" w:color="auto" w:fill="F2F2F2" w:themeFill="background1" w:themeFillShade="F2"/>
          </w:tcPr>
          <w:p w14:paraId="2E4744C7" w14:textId="3C545030" w:rsidR="00591686" w:rsidRPr="00F15939" w:rsidRDefault="00791466" w:rsidP="007128D8">
            <w:pPr>
              <w:spacing w:before="120" w:after="120"/>
              <w:rPr>
                <w:rFonts w:ascii="Verdana" w:hAnsi="Verdana"/>
              </w:rPr>
            </w:pPr>
            <w:bookmarkStart w:id="7" w:name="_Toc5085220"/>
            <w:bookmarkStart w:id="8" w:name="_Toc5887547"/>
            <w:bookmarkStart w:id="9" w:name="_Toc6313778"/>
            <w:r w:rsidRPr="00F15939">
              <w:rPr>
                <w:rFonts w:ascii="Verdana" w:hAnsi="Verdana"/>
              </w:rPr>
              <w:t>Practicum (Mandatory Professional Practice)</w:t>
            </w:r>
            <w:bookmarkEnd w:id="7"/>
            <w:bookmarkEnd w:id="8"/>
            <w:bookmarkEnd w:id="9"/>
          </w:p>
          <w:p w14:paraId="1F012F7B" w14:textId="5E6B0E92" w:rsidR="00E521FB" w:rsidRPr="00F15939" w:rsidRDefault="00E521FB" w:rsidP="007128D8">
            <w:pPr>
              <w:spacing w:before="120" w:after="120"/>
              <w:rPr>
                <w:rFonts w:ascii="Verdana" w:hAnsi="Verdana"/>
              </w:rPr>
            </w:pPr>
          </w:p>
        </w:tc>
        <w:tc>
          <w:tcPr>
            <w:tcW w:w="2036" w:type="pct"/>
            <w:tcBorders>
              <w:top w:val="single" w:sz="4" w:space="0" w:color="74002C" w:themeColor="accent1"/>
              <w:bottom w:val="single" w:sz="4" w:space="0" w:color="808080"/>
            </w:tcBorders>
            <w:shd w:val="clear" w:color="auto" w:fill="F2F2F2" w:themeFill="background1" w:themeFillShade="F2"/>
          </w:tcPr>
          <w:p w14:paraId="0B874DF7" w14:textId="4C1AE09D" w:rsidR="00E521FB" w:rsidRPr="00F15939" w:rsidRDefault="00F15939" w:rsidP="007128D8">
            <w:pPr>
              <w:spacing w:before="120" w:after="120"/>
              <w:rPr>
                <w:rFonts w:ascii="Verdana" w:hAnsi="Verdana"/>
              </w:rPr>
            </w:pPr>
            <w:r w:rsidRPr="00F15939">
              <w:rPr>
                <w:rFonts w:ascii="Verdana" w:hAnsi="Verdana"/>
              </w:rPr>
              <w:t>Experience required by both an academic program and a regulatory professional association where work hour requirements are mandatory for a professional license, certification, or registration. Professional skills are developed in an unpaid work setting or simulated work setting under the supervision of a registered or licensed professional.</w:t>
            </w:r>
          </w:p>
        </w:tc>
        <w:tc>
          <w:tcPr>
            <w:tcW w:w="2152" w:type="pct"/>
            <w:tcBorders>
              <w:top w:val="single" w:sz="4" w:space="0" w:color="74002C" w:themeColor="accent1"/>
              <w:bottom w:val="single" w:sz="4" w:space="0" w:color="808080"/>
            </w:tcBorders>
            <w:shd w:val="clear" w:color="auto" w:fill="F2F2F2" w:themeFill="background1" w:themeFillShade="F2"/>
          </w:tcPr>
          <w:p w14:paraId="15BA8793" w14:textId="77777777" w:rsidR="00F15939" w:rsidRPr="00F15939" w:rsidRDefault="00F15939" w:rsidP="007128D8">
            <w:pPr>
              <w:numPr>
                <w:ilvl w:val="0"/>
                <w:numId w:val="4"/>
              </w:numPr>
              <w:spacing w:before="120" w:after="120"/>
              <w:rPr>
                <w:rFonts w:ascii="Verdana" w:hAnsi="Verdana"/>
              </w:rPr>
            </w:pPr>
            <w:r w:rsidRPr="00F15939">
              <w:rPr>
                <w:rFonts w:ascii="Verdana" w:hAnsi="Verdana"/>
              </w:rPr>
              <w:t xml:space="preserve">Please connect with the program coordinator to learn about how these hours will be achieved. </w:t>
            </w:r>
          </w:p>
          <w:p w14:paraId="60C6ACC2" w14:textId="77777777" w:rsidR="00E521FB" w:rsidRPr="00F15939" w:rsidRDefault="00E521FB" w:rsidP="007128D8">
            <w:pPr>
              <w:spacing w:before="120" w:after="120"/>
              <w:rPr>
                <w:rFonts w:ascii="Verdana" w:hAnsi="Verdana"/>
              </w:rPr>
            </w:pPr>
          </w:p>
        </w:tc>
      </w:tr>
      <w:tr w:rsidR="00E521FB" w:rsidRPr="00F15939" w14:paraId="1559FC61" w14:textId="77777777" w:rsidTr="00BA364D">
        <w:trPr>
          <w:cantSplit/>
        </w:trPr>
        <w:tc>
          <w:tcPr>
            <w:tcW w:w="812" w:type="pct"/>
            <w:tcBorders>
              <w:top w:val="single" w:sz="4" w:space="0" w:color="808080"/>
              <w:bottom w:val="single" w:sz="4" w:space="0" w:color="74002C" w:themeColor="accent1"/>
            </w:tcBorders>
          </w:tcPr>
          <w:p w14:paraId="72BD076E" w14:textId="71657E61" w:rsidR="00591686" w:rsidRPr="00F15939" w:rsidRDefault="00791466" w:rsidP="007128D8">
            <w:pPr>
              <w:spacing w:before="120" w:after="120"/>
              <w:rPr>
                <w:rFonts w:ascii="Verdana" w:hAnsi="Verdana"/>
              </w:rPr>
            </w:pPr>
            <w:bookmarkStart w:id="10" w:name="_Toc5085221"/>
            <w:bookmarkStart w:id="11" w:name="_Toc5887548"/>
            <w:bookmarkStart w:id="12" w:name="_Toc6313779"/>
            <w:r w:rsidRPr="00F15939">
              <w:rPr>
                <w:rFonts w:ascii="Verdana" w:hAnsi="Verdana"/>
              </w:rPr>
              <w:t>Service Learning</w:t>
            </w:r>
            <w:bookmarkEnd w:id="10"/>
            <w:bookmarkEnd w:id="11"/>
            <w:bookmarkEnd w:id="12"/>
          </w:p>
          <w:p w14:paraId="31D00085" w14:textId="67BDA075" w:rsidR="00E521FB" w:rsidRPr="00F15939" w:rsidRDefault="00E521FB" w:rsidP="007128D8">
            <w:pPr>
              <w:spacing w:before="120" w:after="120"/>
              <w:rPr>
                <w:rFonts w:ascii="Verdana" w:hAnsi="Verdana"/>
              </w:rPr>
            </w:pPr>
          </w:p>
        </w:tc>
        <w:tc>
          <w:tcPr>
            <w:tcW w:w="2036" w:type="pct"/>
            <w:tcBorders>
              <w:top w:val="single" w:sz="4" w:space="0" w:color="808080"/>
              <w:bottom w:val="single" w:sz="4" w:space="0" w:color="74002C" w:themeColor="accent1"/>
            </w:tcBorders>
          </w:tcPr>
          <w:p w14:paraId="13B0AB50" w14:textId="70C19779" w:rsidR="00E521FB" w:rsidRPr="00F15939" w:rsidRDefault="00F15939" w:rsidP="007128D8">
            <w:pPr>
              <w:spacing w:before="120" w:after="120"/>
              <w:rPr>
                <w:rFonts w:ascii="Verdana" w:hAnsi="Verdana"/>
              </w:rPr>
            </w:pPr>
            <w:r w:rsidRPr="00F15939">
              <w:rPr>
                <w:rFonts w:ascii="Verdana" w:hAnsi="Verdana"/>
              </w:rPr>
              <w:t>Academically linked work experience designed to foster civic or social responsibility and leadership that is undertaken with a local, provincial, national, or international organization to address community or global needs. Integrates course content and critical reflection to produce meaningful outcomes in personal, academic, and civic learning. An instructor/professor facilitates the experience.</w:t>
            </w:r>
          </w:p>
        </w:tc>
        <w:tc>
          <w:tcPr>
            <w:tcW w:w="2152" w:type="pct"/>
            <w:tcBorders>
              <w:top w:val="single" w:sz="4" w:space="0" w:color="808080"/>
              <w:bottom w:val="single" w:sz="4" w:space="0" w:color="74002C" w:themeColor="accent1"/>
            </w:tcBorders>
          </w:tcPr>
          <w:p w14:paraId="2DEF4D6D" w14:textId="77777777" w:rsidR="00F15939" w:rsidRPr="00F15939" w:rsidRDefault="00F15939" w:rsidP="007128D8">
            <w:pPr>
              <w:numPr>
                <w:ilvl w:val="0"/>
                <w:numId w:val="4"/>
              </w:numPr>
              <w:spacing w:before="120" w:after="120"/>
              <w:rPr>
                <w:rFonts w:ascii="Verdana" w:hAnsi="Verdana"/>
              </w:rPr>
            </w:pPr>
            <w:r w:rsidRPr="00F15939">
              <w:rPr>
                <w:rFonts w:ascii="Verdana" w:hAnsi="Verdana"/>
              </w:rPr>
              <w:t>Remote service learning available. Connect with your external partner to ideate and plan virtual learning opportunities (e.g., virtual event planning and/or hosting).</w:t>
            </w:r>
          </w:p>
          <w:p w14:paraId="7BA8C9FD" w14:textId="77777777" w:rsidR="00E521FB" w:rsidRPr="00F15939" w:rsidRDefault="00E521FB" w:rsidP="007128D8">
            <w:pPr>
              <w:spacing w:before="120" w:after="120"/>
              <w:rPr>
                <w:rFonts w:ascii="Verdana" w:hAnsi="Verdana"/>
              </w:rPr>
            </w:pPr>
          </w:p>
        </w:tc>
      </w:tr>
      <w:tr w:rsidR="007128D8" w:rsidRPr="00F15939" w14:paraId="7D4A18AF" w14:textId="77777777" w:rsidTr="00BA364D">
        <w:trPr>
          <w:cantSplit/>
        </w:trPr>
        <w:tc>
          <w:tcPr>
            <w:tcW w:w="812" w:type="pct"/>
            <w:tcBorders>
              <w:top w:val="single" w:sz="4" w:space="0" w:color="74002C" w:themeColor="accent1"/>
              <w:bottom w:val="single" w:sz="4" w:space="0" w:color="74002C" w:themeColor="accent1"/>
            </w:tcBorders>
            <w:shd w:val="clear" w:color="auto" w:fill="F2F2F2" w:themeFill="background1" w:themeFillShade="F2"/>
          </w:tcPr>
          <w:p w14:paraId="3833C651" w14:textId="5A9661B7" w:rsidR="00E521FB" w:rsidRPr="00F15939" w:rsidRDefault="00F15939" w:rsidP="007128D8">
            <w:pPr>
              <w:spacing w:before="120" w:after="120"/>
              <w:rPr>
                <w:rFonts w:ascii="Verdana" w:hAnsi="Verdana"/>
              </w:rPr>
            </w:pPr>
            <w:r w:rsidRPr="00F15939">
              <w:rPr>
                <w:rFonts w:ascii="Verdana" w:hAnsi="Verdana"/>
              </w:rPr>
              <w:lastRenderedPageBreak/>
              <w:t>Simulations</w:t>
            </w:r>
          </w:p>
        </w:tc>
        <w:tc>
          <w:tcPr>
            <w:tcW w:w="2036" w:type="pct"/>
            <w:tcBorders>
              <w:top w:val="single" w:sz="4" w:space="0" w:color="74002C" w:themeColor="accent1"/>
              <w:bottom w:val="single" w:sz="4" w:space="0" w:color="74002C" w:themeColor="accent1"/>
            </w:tcBorders>
            <w:shd w:val="clear" w:color="auto" w:fill="F2F2F2" w:themeFill="background1" w:themeFillShade="F2"/>
          </w:tcPr>
          <w:p w14:paraId="354BEA4B" w14:textId="36B38BD0" w:rsidR="00E521FB" w:rsidRPr="00F15939" w:rsidRDefault="00791466" w:rsidP="007128D8">
            <w:pPr>
              <w:spacing w:before="120" w:after="120"/>
              <w:rPr>
                <w:rFonts w:ascii="Verdana" w:hAnsi="Verdana"/>
              </w:rPr>
            </w:pPr>
            <w:r w:rsidRPr="00F15939">
              <w:rPr>
                <w:rFonts w:ascii="Verdana" w:hAnsi="Verdana"/>
              </w:rPr>
              <w:t>A teaching and learning strategy that involves an interactive and accurate representation of a field-specific situation or process, with or without the use of equipment/technology. Simulations are non-linear in nature and require students to utilize critical thinking skills to respond to ambiguity through direct decision-making.</w:t>
            </w:r>
          </w:p>
        </w:tc>
        <w:tc>
          <w:tcPr>
            <w:tcW w:w="2152" w:type="pct"/>
            <w:tcBorders>
              <w:top w:val="single" w:sz="4" w:space="0" w:color="74002C" w:themeColor="accent1"/>
              <w:bottom w:val="single" w:sz="4" w:space="0" w:color="74002C" w:themeColor="accent1"/>
            </w:tcBorders>
            <w:shd w:val="clear" w:color="auto" w:fill="F2F2F2" w:themeFill="background1" w:themeFillShade="F2"/>
          </w:tcPr>
          <w:p w14:paraId="438539E3" w14:textId="77777777" w:rsidR="00F15939" w:rsidRPr="00F15939" w:rsidRDefault="00F15939" w:rsidP="007128D8">
            <w:pPr>
              <w:numPr>
                <w:ilvl w:val="0"/>
                <w:numId w:val="4"/>
              </w:numPr>
              <w:spacing w:before="120" w:after="120"/>
              <w:rPr>
                <w:rFonts w:ascii="Verdana" w:hAnsi="Verdana"/>
              </w:rPr>
            </w:pPr>
            <w:r w:rsidRPr="00F15939">
              <w:rPr>
                <w:rFonts w:ascii="Verdana" w:hAnsi="Verdana"/>
              </w:rPr>
              <w:t>Locate and select an online simulation option:</w:t>
            </w:r>
          </w:p>
          <w:p w14:paraId="690A958D" w14:textId="77777777" w:rsidR="00F15939" w:rsidRPr="00F15939" w:rsidRDefault="00593100" w:rsidP="007128D8">
            <w:pPr>
              <w:numPr>
                <w:ilvl w:val="1"/>
                <w:numId w:val="4"/>
              </w:numPr>
              <w:spacing w:before="120" w:after="120"/>
              <w:ind w:left="702"/>
              <w:rPr>
                <w:rFonts w:ascii="Verdana" w:hAnsi="Verdana"/>
              </w:rPr>
            </w:pPr>
            <w:hyperlink r:id="rId33" w:history="1">
              <w:r w:rsidR="00F15939" w:rsidRPr="00F15939">
                <w:rPr>
                  <w:rStyle w:val="Hyperlink"/>
                  <w:rFonts w:ascii="Verdana" w:hAnsi="Verdana"/>
                </w:rPr>
                <w:t>EON Reality Inc.</w:t>
              </w:r>
            </w:hyperlink>
            <w:r w:rsidR="00F15939" w:rsidRPr="00F15939">
              <w:rPr>
                <w:rFonts w:ascii="Verdana" w:hAnsi="Verdana"/>
              </w:rPr>
              <w:t xml:space="preserve"> – Visit the Mohawk College’s EON Reality Inc. website to learn about possible augmented and virtual reality options.</w:t>
            </w:r>
          </w:p>
          <w:p w14:paraId="56182521" w14:textId="77777777" w:rsidR="00F15939" w:rsidRPr="00F15939" w:rsidRDefault="00593100" w:rsidP="007128D8">
            <w:pPr>
              <w:numPr>
                <w:ilvl w:val="1"/>
                <w:numId w:val="4"/>
              </w:numPr>
              <w:spacing w:before="120" w:after="120"/>
              <w:ind w:left="702"/>
              <w:rPr>
                <w:rFonts w:ascii="Verdana" w:hAnsi="Verdana"/>
              </w:rPr>
            </w:pPr>
            <w:hyperlink r:id="rId34" w:history="1">
              <w:proofErr w:type="spellStart"/>
              <w:r w:rsidR="00F15939" w:rsidRPr="00F15939">
                <w:rPr>
                  <w:rStyle w:val="Hyperlink"/>
                  <w:rFonts w:ascii="Verdana" w:hAnsi="Verdana"/>
                </w:rPr>
                <w:t>ExperiencePoint</w:t>
              </w:r>
              <w:proofErr w:type="spellEnd"/>
            </w:hyperlink>
            <w:r w:rsidR="00F15939" w:rsidRPr="00F15939">
              <w:rPr>
                <w:rFonts w:ascii="Verdana" w:hAnsi="Verdana"/>
              </w:rPr>
              <w:t xml:space="preserve"> – Simulations for human resources strategy and change management</w:t>
            </w:r>
          </w:p>
          <w:p w14:paraId="775533D5" w14:textId="77777777" w:rsidR="00F15939" w:rsidRPr="00F15939" w:rsidRDefault="00593100" w:rsidP="007128D8">
            <w:pPr>
              <w:numPr>
                <w:ilvl w:val="1"/>
                <w:numId w:val="4"/>
              </w:numPr>
              <w:spacing w:before="120" w:after="120"/>
              <w:ind w:left="702"/>
              <w:rPr>
                <w:rFonts w:ascii="Verdana" w:hAnsi="Verdana"/>
              </w:rPr>
            </w:pPr>
            <w:hyperlink r:id="rId35" w:history="1">
              <w:proofErr w:type="spellStart"/>
              <w:r w:rsidR="00F15939" w:rsidRPr="00F15939">
                <w:rPr>
                  <w:rStyle w:val="Hyperlink"/>
                  <w:rFonts w:ascii="Verdana" w:hAnsi="Verdana"/>
                </w:rPr>
                <w:t>StratX</w:t>
              </w:r>
              <w:proofErr w:type="spellEnd"/>
            </w:hyperlink>
            <w:r w:rsidR="00F15939" w:rsidRPr="00F15939">
              <w:rPr>
                <w:rFonts w:ascii="Verdana" w:hAnsi="Verdana"/>
              </w:rPr>
              <w:t>– Simulations for marketing, strategy, and innovation</w:t>
            </w:r>
          </w:p>
          <w:p w14:paraId="1AB27236" w14:textId="77777777" w:rsidR="00F15939" w:rsidRPr="00F15939" w:rsidRDefault="00593100" w:rsidP="007128D8">
            <w:pPr>
              <w:numPr>
                <w:ilvl w:val="1"/>
                <w:numId w:val="4"/>
              </w:numPr>
              <w:spacing w:before="120" w:after="120"/>
              <w:ind w:left="702"/>
              <w:rPr>
                <w:rFonts w:ascii="Verdana" w:hAnsi="Verdana"/>
              </w:rPr>
            </w:pPr>
            <w:hyperlink r:id="rId36" w:history="1">
              <w:proofErr w:type="spellStart"/>
              <w:r w:rsidR="00F15939" w:rsidRPr="00F15939">
                <w:rPr>
                  <w:rStyle w:val="Hyperlink"/>
                  <w:rFonts w:ascii="Verdana" w:hAnsi="Verdana"/>
                </w:rPr>
                <w:t>PhET</w:t>
              </w:r>
              <w:proofErr w:type="spellEnd"/>
              <w:r w:rsidR="00F15939" w:rsidRPr="00F15939">
                <w:rPr>
                  <w:rStyle w:val="Hyperlink"/>
                  <w:rFonts w:ascii="Verdana" w:hAnsi="Verdana"/>
                </w:rPr>
                <w:t xml:space="preserve"> Sims</w:t>
              </w:r>
            </w:hyperlink>
            <w:r w:rsidR="00F15939" w:rsidRPr="00F15939">
              <w:rPr>
                <w:rFonts w:ascii="Verdana" w:hAnsi="Verdana"/>
              </w:rPr>
              <w:t xml:space="preserve"> – Interactive simulations for physics, chemistry, math, biology, and earth science</w:t>
            </w:r>
          </w:p>
          <w:p w14:paraId="4AD43099" w14:textId="77777777" w:rsidR="00F15939" w:rsidRPr="00F15939" w:rsidRDefault="00593100" w:rsidP="007128D8">
            <w:pPr>
              <w:numPr>
                <w:ilvl w:val="1"/>
                <w:numId w:val="4"/>
              </w:numPr>
              <w:spacing w:before="120" w:after="120"/>
              <w:ind w:left="702"/>
              <w:rPr>
                <w:rFonts w:ascii="Verdana" w:hAnsi="Verdana"/>
              </w:rPr>
            </w:pPr>
            <w:hyperlink r:id="rId37" w:history="1">
              <w:r w:rsidR="00F15939" w:rsidRPr="00F15939">
                <w:rPr>
                  <w:rStyle w:val="Hyperlink"/>
                  <w:rFonts w:ascii="Verdana" w:hAnsi="Verdana"/>
                </w:rPr>
                <w:t>NC State VR Organic Chemistry Labs – Virtual reality experiences for organic chemistry</w:t>
              </w:r>
            </w:hyperlink>
          </w:p>
          <w:p w14:paraId="49593326" w14:textId="77777777" w:rsidR="00F15939" w:rsidRPr="00F15939" w:rsidRDefault="00593100" w:rsidP="007128D8">
            <w:pPr>
              <w:numPr>
                <w:ilvl w:val="1"/>
                <w:numId w:val="4"/>
              </w:numPr>
              <w:spacing w:before="120" w:after="120"/>
              <w:ind w:left="702"/>
              <w:rPr>
                <w:rFonts w:ascii="Verdana" w:hAnsi="Verdana"/>
              </w:rPr>
            </w:pPr>
            <w:hyperlink r:id="rId38" w:history="1">
              <w:r w:rsidR="00F15939" w:rsidRPr="00F15939">
                <w:rPr>
                  <w:rStyle w:val="Hyperlink"/>
                  <w:rFonts w:ascii="Verdana" w:hAnsi="Verdana"/>
                </w:rPr>
                <w:t>Virtual Simulation Community of Learning Resources</w:t>
              </w:r>
            </w:hyperlink>
            <w:r w:rsidR="00F15939" w:rsidRPr="00F15939">
              <w:rPr>
                <w:rFonts w:ascii="Verdana" w:hAnsi="Verdana"/>
              </w:rPr>
              <w:t xml:space="preserve"> for nursing and healthcare</w:t>
            </w:r>
          </w:p>
          <w:p w14:paraId="7E0C2346" w14:textId="77777777" w:rsidR="00F15939" w:rsidRPr="00F15939" w:rsidRDefault="00593100" w:rsidP="007128D8">
            <w:pPr>
              <w:numPr>
                <w:ilvl w:val="1"/>
                <w:numId w:val="4"/>
              </w:numPr>
              <w:spacing w:before="120" w:after="120"/>
              <w:ind w:left="702"/>
              <w:rPr>
                <w:rFonts w:ascii="Verdana" w:hAnsi="Verdana"/>
              </w:rPr>
            </w:pPr>
            <w:hyperlink r:id="rId39" w:history="1">
              <w:r w:rsidR="00F15939" w:rsidRPr="00F15939">
                <w:rPr>
                  <w:rStyle w:val="Hyperlink"/>
                  <w:rFonts w:ascii="Verdana" w:hAnsi="Verdana"/>
                </w:rPr>
                <w:t>Virtual Microscope for Earth Sciences</w:t>
              </w:r>
            </w:hyperlink>
            <w:r w:rsidR="00F15939" w:rsidRPr="00F15939">
              <w:rPr>
                <w:rFonts w:ascii="Verdana" w:hAnsi="Verdana"/>
              </w:rPr>
              <w:t xml:space="preserve"> – Virtual microscope things for each science</w:t>
            </w:r>
          </w:p>
          <w:p w14:paraId="32B238E7" w14:textId="77777777" w:rsidR="00F15939" w:rsidRPr="00F15939" w:rsidRDefault="00593100" w:rsidP="007128D8">
            <w:pPr>
              <w:numPr>
                <w:ilvl w:val="1"/>
                <w:numId w:val="4"/>
              </w:numPr>
              <w:spacing w:before="120" w:after="120"/>
              <w:ind w:left="702"/>
              <w:rPr>
                <w:rFonts w:ascii="Verdana" w:hAnsi="Verdana"/>
              </w:rPr>
            </w:pPr>
            <w:hyperlink r:id="rId40" w:history="1">
              <w:proofErr w:type="spellStart"/>
              <w:r w:rsidR="00F15939" w:rsidRPr="00F15939">
                <w:rPr>
                  <w:rStyle w:val="Hyperlink"/>
                  <w:rFonts w:ascii="Verdana" w:hAnsi="Verdana"/>
                </w:rPr>
                <w:t>NeuroMembrane</w:t>
              </w:r>
              <w:proofErr w:type="spellEnd"/>
            </w:hyperlink>
            <w:r w:rsidR="00F15939" w:rsidRPr="00F15939">
              <w:rPr>
                <w:rFonts w:ascii="Verdana" w:hAnsi="Verdana"/>
              </w:rPr>
              <w:t>– Simulator for understanding membranes</w:t>
            </w:r>
          </w:p>
          <w:p w14:paraId="7A3DD526" w14:textId="77777777" w:rsidR="00F15939" w:rsidRPr="00F15939" w:rsidRDefault="00593100" w:rsidP="007128D8">
            <w:pPr>
              <w:numPr>
                <w:ilvl w:val="1"/>
                <w:numId w:val="4"/>
              </w:numPr>
              <w:spacing w:before="120" w:after="120"/>
              <w:ind w:left="702"/>
              <w:rPr>
                <w:rFonts w:ascii="Verdana" w:hAnsi="Verdana"/>
              </w:rPr>
            </w:pPr>
            <w:hyperlink r:id="rId41" w:history="1">
              <w:r w:rsidR="00F15939" w:rsidRPr="00F15939">
                <w:rPr>
                  <w:rStyle w:val="Hyperlink"/>
                  <w:rFonts w:ascii="Verdana" w:hAnsi="Verdana"/>
                </w:rPr>
                <w:t>Anatomy and Physiology Lab Kits</w:t>
              </w:r>
            </w:hyperlink>
            <w:r w:rsidR="00F15939" w:rsidRPr="00F15939">
              <w:rPr>
                <w:rFonts w:ascii="Verdana" w:hAnsi="Verdana"/>
              </w:rPr>
              <w:t xml:space="preserve"> – Pre-recorded webinar for teaching anatomy online</w:t>
            </w:r>
          </w:p>
          <w:p w14:paraId="31270DD7" w14:textId="77777777" w:rsidR="00F15939" w:rsidRPr="00F15939" w:rsidRDefault="00593100" w:rsidP="007128D8">
            <w:pPr>
              <w:numPr>
                <w:ilvl w:val="1"/>
                <w:numId w:val="4"/>
              </w:numPr>
              <w:spacing w:before="120" w:after="120"/>
              <w:ind w:left="702"/>
              <w:rPr>
                <w:rFonts w:ascii="Verdana" w:hAnsi="Verdana"/>
              </w:rPr>
            </w:pPr>
            <w:hyperlink r:id="rId42" w:history="1">
              <w:proofErr w:type="spellStart"/>
              <w:r w:rsidR="00F15939" w:rsidRPr="00F15939">
                <w:rPr>
                  <w:rStyle w:val="Hyperlink"/>
                  <w:rFonts w:ascii="Verdana" w:hAnsi="Verdana"/>
                </w:rPr>
                <w:t>GeoBra</w:t>
              </w:r>
              <w:proofErr w:type="spellEnd"/>
            </w:hyperlink>
            <w:r w:rsidR="00F15939" w:rsidRPr="00F15939">
              <w:rPr>
                <w:rFonts w:ascii="Verdana" w:hAnsi="Verdana"/>
              </w:rPr>
              <w:t xml:space="preserve"> – Interactive elements associated with geometry, algebra, statistics and calculus applications</w:t>
            </w:r>
          </w:p>
          <w:p w14:paraId="424AAE79" w14:textId="77777777" w:rsidR="004A2E70" w:rsidRPr="00F15939" w:rsidRDefault="00593100" w:rsidP="007128D8">
            <w:pPr>
              <w:numPr>
                <w:ilvl w:val="1"/>
                <w:numId w:val="4"/>
              </w:numPr>
              <w:spacing w:before="120" w:after="120"/>
              <w:ind w:left="702"/>
              <w:rPr>
                <w:rFonts w:ascii="Verdana" w:hAnsi="Verdana"/>
              </w:rPr>
            </w:pPr>
            <w:hyperlink r:id="rId43" w:history="1">
              <w:r w:rsidR="00F15939" w:rsidRPr="00F15939">
                <w:rPr>
                  <w:rStyle w:val="Hyperlink"/>
                  <w:rFonts w:ascii="Verdana" w:hAnsi="Verdana"/>
                </w:rPr>
                <w:t>Smithsonian Open Access</w:t>
              </w:r>
            </w:hyperlink>
            <w:r w:rsidR="00F15939" w:rsidRPr="00F15939">
              <w:rPr>
                <w:rFonts w:ascii="Verdana" w:hAnsi="Verdana"/>
              </w:rPr>
              <w:t>: 2D and 3D digital museum objects, archives, and library materials, including images, audio, video, and blog posts. Create your own simulation using these resources.</w:t>
            </w:r>
          </w:p>
          <w:p w14:paraId="3C68030F" w14:textId="77777777" w:rsidR="00E521FB" w:rsidRPr="00F15939" w:rsidRDefault="00E521FB" w:rsidP="007128D8">
            <w:pPr>
              <w:spacing w:before="120" w:after="120"/>
              <w:rPr>
                <w:rFonts w:ascii="Verdana" w:hAnsi="Verdana"/>
              </w:rPr>
            </w:pPr>
          </w:p>
        </w:tc>
      </w:tr>
    </w:tbl>
    <w:p w14:paraId="568FB795" w14:textId="77777777" w:rsidR="004A2E70" w:rsidRPr="00F15939" w:rsidRDefault="004A2E70" w:rsidP="004A2E70">
      <w:pPr>
        <w:rPr>
          <w:rFonts w:ascii="Verdana" w:hAnsi="Verdana"/>
        </w:rPr>
      </w:pPr>
    </w:p>
    <w:sectPr w:rsidR="004A2E70" w:rsidRPr="00F15939" w:rsidSect="00D847FB">
      <w:headerReference w:type="default" r:id="rId44"/>
      <w:pgSz w:w="24480" w:h="15840" w:orient="landscape" w:code="4"/>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DEB5B" w14:textId="77777777" w:rsidR="00320484" w:rsidRDefault="00320484" w:rsidP="00860C79">
      <w:pPr>
        <w:spacing w:after="0" w:line="240" w:lineRule="auto"/>
      </w:pPr>
      <w:r>
        <w:separator/>
      </w:r>
    </w:p>
  </w:endnote>
  <w:endnote w:type="continuationSeparator" w:id="0">
    <w:p w14:paraId="4DF25798" w14:textId="77777777" w:rsidR="00320484" w:rsidRDefault="00320484" w:rsidP="00860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6FE26" w14:textId="77777777" w:rsidR="00593100" w:rsidRDefault="005931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6617716"/>
      <w:docPartObj>
        <w:docPartGallery w:val="Page Numbers (Bottom of Page)"/>
        <w:docPartUnique/>
      </w:docPartObj>
    </w:sdtPr>
    <w:sdtEndPr>
      <w:rPr>
        <w:rFonts w:ascii="Verdana" w:hAnsi="Verdana"/>
        <w:noProof/>
      </w:rPr>
    </w:sdtEndPr>
    <w:sdtContent>
      <w:p w14:paraId="45140E8A" w14:textId="6C70F748" w:rsidR="00DB1A29" w:rsidRPr="00DB1A29" w:rsidRDefault="00DB1A29">
        <w:pPr>
          <w:pStyle w:val="Footer"/>
          <w:jc w:val="right"/>
          <w:rPr>
            <w:rFonts w:ascii="Verdana" w:hAnsi="Verdana"/>
          </w:rPr>
        </w:pPr>
        <w:r w:rsidRPr="00DB1A29">
          <w:rPr>
            <w:rFonts w:ascii="Verdana" w:hAnsi="Verdana"/>
          </w:rPr>
          <w:fldChar w:fldCharType="begin"/>
        </w:r>
        <w:r w:rsidRPr="00DB1A29">
          <w:rPr>
            <w:rFonts w:ascii="Verdana" w:hAnsi="Verdana"/>
          </w:rPr>
          <w:instrText xml:space="preserve"> PAGE   \* MERGEFORMAT </w:instrText>
        </w:r>
        <w:r w:rsidRPr="00DB1A29">
          <w:rPr>
            <w:rFonts w:ascii="Verdana" w:hAnsi="Verdana"/>
          </w:rPr>
          <w:fldChar w:fldCharType="separate"/>
        </w:r>
        <w:r w:rsidRPr="00DB1A29">
          <w:rPr>
            <w:rFonts w:ascii="Verdana" w:hAnsi="Verdana"/>
            <w:noProof/>
          </w:rPr>
          <w:t>2</w:t>
        </w:r>
        <w:r w:rsidRPr="00DB1A29">
          <w:rPr>
            <w:rFonts w:ascii="Verdana" w:hAnsi="Verdana"/>
            <w:noProof/>
          </w:rPr>
          <w:fldChar w:fldCharType="end"/>
        </w:r>
      </w:p>
    </w:sdtContent>
  </w:sdt>
  <w:p w14:paraId="26DB4161" w14:textId="60D7D2AA" w:rsidR="00DB1A29" w:rsidRDefault="00593100">
    <w:pPr>
      <w:pStyle w:val="Footer"/>
    </w:pPr>
    <w:r>
      <w:rPr>
        <w:noProof/>
      </w:rPr>
      <w:drawing>
        <wp:inline distT="0" distB="0" distL="0" distR="0" wp14:anchorId="52B9B07A" wp14:editId="04E9E31D">
          <wp:extent cx="838200" cy="295275"/>
          <wp:effectExtent l="0" t="0" r="0" b="9525"/>
          <wp:docPr id="4" name="Picture 4" descr="Attribution-NonCommercial-ShareAlike 4.0 International (CC BY-NC-SA 4.0)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ttribution-NonCommercial-ShareAlike 4.0 International (CC BY-NC-SA 4.0) ">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38200" cy="29527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2D74D" w14:textId="77777777" w:rsidR="00593100" w:rsidRDefault="005931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B37B2" w14:textId="77777777" w:rsidR="00320484" w:rsidRDefault="00320484" w:rsidP="00860C79">
      <w:pPr>
        <w:spacing w:after="0" w:line="240" w:lineRule="auto"/>
      </w:pPr>
      <w:r>
        <w:separator/>
      </w:r>
    </w:p>
  </w:footnote>
  <w:footnote w:type="continuationSeparator" w:id="0">
    <w:p w14:paraId="2CDB60F4" w14:textId="77777777" w:rsidR="00320484" w:rsidRDefault="00320484" w:rsidP="00860C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F7BE1" w14:textId="77777777" w:rsidR="00593100" w:rsidRDefault="005931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6D744" w14:textId="3E555CF6" w:rsidR="00860C79" w:rsidRDefault="00860C79">
    <w:pPr>
      <w:pStyle w:val="Header"/>
    </w:pPr>
    <w:r w:rsidRPr="00860C79">
      <w:rPr>
        <w:noProof/>
      </w:rPr>
      <w:drawing>
        <wp:anchor distT="0" distB="0" distL="114300" distR="114300" simplePos="0" relativeHeight="251659264" behindDoc="0" locked="0" layoutInCell="1" allowOverlap="1" wp14:anchorId="3DEA3E2A" wp14:editId="51AFE876">
          <wp:simplePos x="0" y="0"/>
          <wp:positionH relativeFrom="margin">
            <wp:posOffset>5112385</wp:posOffset>
          </wp:positionH>
          <wp:positionV relativeFrom="paragraph">
            <wp:posOffset>-20955</wp:posOffset>
          </wp:positionV>
          <wp:extent cx="829945" cy="222885"/>
          <wp:effectExtent l="0" t="0" r="8255" b="5715"/>
          <wp:wrapThrough wrapText="bothSides">
            <wp:wrapPolygon edited="0">
              <wp:start x="10907" y="0"/>
              <wp:lineTo x="0" y="0"/>
              <wp:lineTo x="0" y="18462"/>
              <wp:lineTo x="496" y="20308"/>
              <wp:lineTo x="20823" y="20308"/>
              <wp:lineTo x="21319" y="14769"/>
              <wp:lineTo x="21319" y="0"/>
              <wp:lineTo x="13386" y="0"/>
              <wp:lineTo x="10907" y="0"/>
            </wp:wrapPolygon>
          </wp:wrapThrough>
          <wp:docPr id="2" name="Picture 2" descr="Centre for Teaching &amp; Learning logo" title="Centre for Teaching &amp; Lear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Llogo_on 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9945" cy="222885"/>
                  </a:xfrm>
                  <a:prstGeom prst="rect">
                    <a:avLst/>
                  </a:prstGeom>
                </pic:spPr>
              </pic:pic>
            </a:graphicData>
          </a:graphic>
          <wp14:sizeRelH relativeFrom="margin">
            <wp14:pctWidth>0</wp14:pctWidth>
          </wp14:sizeRelH>
          <wp14:sizeRelV relativeFrom="margin">
            <wp14:pctHeight>0</wp14:pctHeight>
          </wp14:sizeRelV>
        </wp:anchor>
      </w:drawing>
    </w:r>
    <w:r w:rsidRPr="00860C79">
      <w:rPr>
        <w:noProof/>
      </w:rPr>
      <w:drawing>
        <wp:anchor distT="36576" distB="36576" distL="36576" distR="36576" simplePos="0" relativeHeight="251660288" behindDoc="0" locked="0" layoutInCell="1" allowOverlap="1" wp14:anchorId="17D4A884" wp14:editId="363A37DC">
          <wp:simplePos x="0" y="0"/>
          <wp:positionH relativeFrom="margin">
            <wp:posOffset>0</wp:posOffset>
          </wp:positionH>
          <wp:positionV relativeFrom="margin">
            <wp:posOffset>-470535</wp:posOffset>
          </wp:positionV>
          <wp:extent cx="1325880" cy="218636"/>
          <wp:effectExtent l="0" t="0" r="7620" b="0"/>
          <wp:wrapSquare wrapText="bothSides"/>
          <wp:docPr id="7" name="Picture 7" descr="Mohawk College Logo " title="Mohawk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5880" cy="21863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94086" w14:textId="77777777" w:rsidR="00593100" w:rsidRDefault="0059310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737E0" w14:textId="77777777" w:rsidR="00DB1A29" w:rsidRDefault="00DB1A29">
    <w:pPr>
      <w:pStyle w:val="Header"/>
    </w:pPr>
    <w:bookmarkStart w:id="13" w:name="_GoBack"/>
    <w:r w:rsidRPr="00860C79">
      <w:rPr>
        <w:noProof/>
      </w:rPr>
      <w:drawing>
        <wp:anchor distT="0" distB="0" distL="114300" distR="114300" simplePos="0" relativeHeight="251662336" behindDoc="0" locked="0" layoutInCell="1" allowOverlap="1" wp14:anchorId="64473F79" wp14:editId="58A68049">
          <wp:simplePos x="0" y="0"/>
          <wp:positionH relativeFrom="margin">
            <wp:posOffset>12747625</wp:posOffset>
          </wp:positionH>
          <wp:positionV relativeFrom="paragraph">
            <wp:posOffset>-20955</wp:posOffset>
          </wp:positionV>
          <wp:extent cx="829945" cy="222885"/>
          <wp:effectExtent l="0" t="0" r="8255" b="5715"/>
          <wp:wrapThrough wrapText="bothSides">
            <wp:wrapPolygon edited="0">
              <wp:start x="10907" y="0"/>
              <wp:lineTo x="0" y="0"/>
              <wp:lineTo x="0" y="18462"/>
              <wp:lineTo x="496" y="20308"/>
              <wp:lineTo x="20823" y="20308"/>
              <wp:lineTo x="21319" y="14769"/>
              <wp:lineTo x="21319" y="0"/>
              <wp:lineTo x="13386" y="0"/>
              <wp:lineTo x="10907" y="0"/>
            </wp:wrapPolygon>
          </wp:wrapThrough>
          <wp:docPr id="1" name="Picture 1" descr="Centre for Teaching &amp; Learning logo" title="Centre for Teaching &amp; Lear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Llogo_on 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9945" cy="222885"/>
                  </a:xfrm>
                  <a:prstGeom prst="rect">
                    <a:avLst/>
                  </a:prstGeom>
                </pic:spPr>
              </pic:pic>
            </a:graphicData>
          </a:graphic>
          <wp14:sizeRelH relativeFrom="margin">
            <wp14:pctWidth>0</wp14:pctWidth>
          </wp14:sizeRelH>
          <wp14:sizeRelV relativeFrom="margin">
            <wp14:pctHeight>0</wp14:pctHeight>
          </wp14:sizeRelV>
        </wp:anchor>
      </w:drawing>
    </w:r>
    <w:r w:rsidRPr="00860C79">
      <w:rPr>
        <w:noProof/>
      </w:rPr>
      <w:drawing>
        <wp:anchor distT="36576" distB="36576" distL="36576" distR="36576" simplePos="0" relativeHeight="251663360" behindDoc="0" locked="0" layoutInCell="1" allowOverlap="1" wp14:anchorId="6A2F8F95" wp14:editId="3DA439D8">
          <wp:simplePos x="0" y="0"/>
          <wp:positionH relativeFrom="margin">
            <wp:posOffset>0</wp:posOffset>
          </wp:positionH>
          <wp:positionV relativeFrom="margin">
            <wp:posOffset>-470535</wp:posOffset>
          </wp:positionV>
          <wp:extent cx="1325880" cy="218636"/>
          <wp:effectExtent l="0" t="0" r="7620" b="0"/>
          <wp:wrapSquare wrapText="bothSides"/>
          <wp:docPr id="3" name="Picture 3" descr="Mohawk College Logo " title="Mohawk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5880" cy="218636"/>
                  </a:xfrm>
                  <a:prstGeom prst="rect">
                    <a:avLst/>
                  </a:prstGeom>
                  <a:noFill/>
                  <a:ln>
                    <a:noFill/>
                  </a:ln>
                  <a:effectLst/>
                </pic:spPr>
              </pic:pic>
            </a:graphicData>
          </a:graphic>
          <wp14:sizeRelH relativeFrom="page">
            <wp14:pctWidth>0</wp14:pctWidth>
          </wp14:sizeRelH>
          <wp14:sizeRelV relativeFrom="page">
            <wp14:pctHeight>0</wp14:pctHeight>
          </wp14:sizeRelV>
        </wp:anchor>
      </w:drawing>
    </w:r>
    <w:bookmarkEnd w:id="1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57419"/>
    <w:multiLevelType w:val="hybridMultilevel"/>
    <w:tmpl w:val="90744FC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F3FB8"/>
    <w:multiLevelType w:val="hybridMultilevel"/>
    <w:tmpl w:val="6114A1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354FB"/>
    <w:multiLevelType w:val="hybridMultilevel"/>
    <w:tmpl w:val="79CE632E"/>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0303D8"/>
    <w:multiLevelType w:val="hybridMultilevel"/>
    <w:tmpl w:val="657CD7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EA047F"/>
    <w:multiLevelType w:val="hybridMultilevel"/>
    <w:tmpl w:val="069E35F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32605A"/>
    <w:multiLevelType w:val="hybridMultilevel"/>
    <w:tmpl w:val="CD6C37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E15069"/>
    <w:multiLevelType w:val="hybridMultilevel"/>
    <w:tmpl w:val="466E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AF1F5A"/>
    <w:multiLevelType w:val="hybridMultilevel"/>
    <w:tmpl w:val="70F4C0F2"/>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1A32C84"/>
    <w:multiLevelType w:val="hybridMultilevel"/>
    <w:tmpl w:val="0B5410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18402D"/>
    <w:multiLevelType w:val="hybridMultilevel"/>
    <w:tmpl w:val="6896D0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2"/>
  </w:num>
  <w:num w:numId="5">
    <w:abstractNumId w:val="5"/>
  </w:num>
  <w:num w:numId="6">
    <w:abstractNumId w:val="1"/>
  </w:num>
  <w:num w:numId="7">
    <w:abstractNumId w:val="3"/>
  </w:num>
  <w:num w:numId="8">
    <w:abstractNumId w:val="9"/>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9B5"/>
    <w:rsid w:val="000341C6"/>
    <w:rsid w:val="001F628F"/>
    <w:rsid w:val="002645A5"/>
    <w:rsid w:val="00320484"/>
    <w:rsid w:val="0032089F"/>
    <w:rsid w:val="0033470C"/>
    <w:rsid w:val="004506D7"/>
    <w:rsid w:val="004A2E70"/>
    <w:rsid w:val="004D3B7C"/>
    <w:rsid w:val="00593100"/>
    <w:rsid w:val="005E39B4"/>
    <w:rsid w:val="00706303"/>
    <w:rsid w:val="007128D8"/>
    <w:rsid w:val="00791466"/>
    <w:rsid w:val="007E09B5"/>
    <w:rsid w:val="00860C79"/>
    <w:rsid w:val="009A1485"/>
    <w:rsid w:val="009D1339"/>
    <w:rsid w:val="00AB2A64"/>
    <w:rsid w:val="00BA364D"/>
    <w:rsid w:val="00BF7D69"/>
    <w:rsid w:val="00C816A0"/>
    <w:rsid w:val="00CD13DC"/>
    <w:rsid w:val="00CE7131"/>
    <w:rsid w:val="00D847FB"/>
    <w:rsid w:val="00DB1A29"/>
    <w:rsid w:val="00E521FB"/>
    <w:rsid w:val="00F15939"/>
    <w:rsid w:val="00F319F8"/>
    <w:rsid w:val="00F618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9F4A6"/>
  <w15:chartTrackingRefBased/>
  <w15:docId w15:val="{8503D49D-06D3-4D45-AA2D-3C81C988B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CA"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13DC"/>
    <w:rPr>
      <w:sz w:val="24"/>
    </w:rPr>
  </w:style>
  <w:style w:type="paragraph" w:styleId="Heading1">
    <w:name w:val="heading 1"/>
    <w:basedOn w:val="Normal"/>
    <w:next w:val="Normal"/>
    <w:link w:val="Heading1Char"/>
    <w:uiPriority w:val="9"/>
    <w:qFormat/>
    <w:rsid w:val="009D1339"/>
    <w:pPr>
      <w:keepNext/>
      <w:keepLines/>
      <w:pBdr>
        <w:bottom w:val="single" w:sz="4" w:space="2" w:color="B10033" w:themeColor="accent2"/>
      </w:pBdr>
      <w:spacing w:before="360" w:after="120" w:line="240" w:lineRule="auto"/>
      <w:outlineLvl w:val="0"/>
    </w:pPr>
    <w:rPr>
      <w:rFonts w:asciiTheme="majorHAnsi" w:eastAsiaTheme="majorEastAsia" w:hAnsiTheme="majorHAnsi" w:cstheme="majorBidi"/>
      <w:color w:val="74002C" w:themeColor="accent1"/>
      <w:sz w:val="40"/>
      <w:szCs w:val="40"/>
    </w:rPr>
  </w:style>
  <w:style w:type="paragraph" w:styleId="Heading2">
    <w:name w:val="heading 2"/>
    <w:basedOn w:val="Normal"/>
    <w:next w:val="Normal"/>
    <w:link w:val="Heading2Char"/>
    <w:uiPriority w:val="9"/>
    <w:unhideWhenUsed/>
    <w:qFormat/>
    <w:rsid w:val="009D1339"/>
    <w:pPr>
      <w:keepNext/>
      <w:keepLines/>
      <w:spacing w:before="120" w:after="0" w:line="240" w:lineRule="auto"/>
      <w:outlineLvl w:val="1"/>
    </w:pPr>
    <w:rPr>
      <w:rFonts w:asciiTheme="majorHAnsi" w:eastAsiaTheme="majorEastAsia" w:hAnsiTheme="majorHAnsi" w:cstheme="majorBidi"/>
      <w:color w:val="B10033" w:themeColor="accent2"/>
      <w:sz w:val="32"/>
      <w:szCs w:val="36"/>
    </w:rPr>
  </w:style>
  <w:style w:type="paragraph" w:styleId="Heading3">
    <w:name w:val="heading 3"/>
    <w:basedOn w:val="Normal"/>
    <w:next w:val="Normal"/>
    <w:link w:val="Heading3Char"/>
    <w:uiPriority w:val="9"/>
    <w:unhideWhenUsed/>
    <w:qFormat/>
    <w:rsid w:val="009D1339"/>
    <w:pPr>
      <w:keepNext/>
      <w:keepLines/>
      <w:spacing w:before="80" w:after="0" w:line="240" w:lineRule="auto"/>
      <w:outlineLvl w:val="2"/>
    </w:pPr>
    <w:rPr>
      <w:rFonts w:asciiTheme="majorHAnsi" w:eastAsiaTheme="majorEastAsia" w:hAnsiTheme="majorHAnsi" w:cstheme="majorBidi"/>
      <w:color w:val="C55F09" w:themeColor="accent3" w:themeShade="BF"/>
      <w:sz w:val="28"/>
      <w:szCs w:val="32"/>
    </w:rPr>
  </w:style>
  <w:style w:type="paragraph" w:styleId="Heading4">
    <w:name w:val="heading 4"/>
    <w:basedOn w:val="Normal"/>
    <w:next w:val="Normal"/>
    <w:link w:val="Heading4Char"/>
    <w:uiPriority w:val="9"/>
    <w:semiHidden/>
    <w:unhideWhenUsed/>
    <w:qFormat/>
    <w:rsid w:val="007E09B5"/>
    <w:pPr>
      <w:keepNext/>
      <w:keepLines/>
      <w:spacing w:before="80" w:after="0" w:line="240" w:lineRule="auto"/>
      <w:outlineLvl w:val="3"/>
    </w:pPr>
    <w:rPr>
      <w:rFonts w:asciiTheme="majorHAnsi" w:eastAsiaTheme="majorEastAsia" w:hAnsiTheme="majorHAnsi" w:cstheme="majorBidi"/>
      <w:i/>
      <w:iCs/>
      <w:color w:val="580019" w:themeColor="accent2" w:themeShade="80"/>
      <w:sz w:val="28"/>
      <w:szCs w:val="28"/>
    </w:rPr>
  </w:style>
  <w:style w:type="paragraph" w:styleId="Heading5">
    <w:name w:val="heading 5"/>
    <w:basedOn w:val="Normal"/>
    <w:next w:val="Normal"/>
    <w:link w:val="Heading5Char"/>
    <w:uiPriority w:val="9"/>
    <w:semiHidden/>
    <w:unhideWhenUsed/>
    <w:qFormat/>
    <w:rsid w:val="007E09B5"/>
    <w:pPr>
      <w:keepNext/>
      <w:keepLines/>
      <w:spacing w:before="80" w:after="0" w:line="240" w:lineRule="auto"/>
      <w:outlineLvl w:val="4"/>
    </w:pPr>
    <w:rPr>
      <w:rFonts w:asciiTheme="majorHAnsi" w:eastAsiaTheme="majorEastAsia" w:hAnsiTheme="majorHAnsi" w:cstheme="majorBidi"/>
      <w:color w:val="840025" w:themeColor="accent2" w:themeShade="BF"/>
      <w:szCs w:val="24"/>
    </w:rPr>
  </w:style>
  <w:style w:type="paragraph" w:styleId="Heading6">
    <w:name w:val="heading 6"/>
    <w:basedOn w:val="Normal"/>
    <w:next w:val="Normal"/>
    <w:link w:val="Heading6Char"/>
    <w:uiPriority w:val="9"/>
    <w:semiHidden/>
    <w:unhideWhenUsed/>
    <w:qFormat/>
    <w:rsid w:val="007E09B5"/>
    <w:pPr>
      <w:keepNext/>
      <w:keepLines/>
      <w:spacing w:before="80" w:after="0" w:line="240" w:lineRule="auto"/>
      <w:outlineLvl w:val="5"/>
    </w:pPr>
    <w:rPr>
      <w:rFonts w:asciiTheme="majorHAnsi" w:eastAsiaTheme="majorEastAsia" w:hAnsiTheme="majorHAnsi" w:cstheme="majorBidi"/>
      <w:i/>
      <w:iCs/>
      <w:color w:val="580019" w:themeColor="accent2" w:themeShade="80"/>
      <w:szCs w:val="24"/>
    </w:rPr>
  </w:style>
  <w:style w:type="paragraph" w:styleId="Heading7">
    <w:name w:val="heading 7"/>
    <w:basedOn w:val="Normal"/>
    <w:next w:val="Normal"/>
    <w:link w:val="Heading7Char"/>
    <w:uiPriority w:val="9"/>
    <w:semiHidden/>
    <w:unhideWhenUsed/>
    <w:qFormat/>
    <w:rsid w:val="007E09B5"/>
    <w:pPr>
      <w:keepNext/>
      <w:keepLines/>
      <w:spacing w:before="80" w:after="0" w:line="240" w:lineRule="auto"/>
      <w:outlineLvl w:val="6"/>
    </w:pPr>
    <w:rPr>
      <w:rFonts w:asciiTheme="majorHAnsi" w:eastAsiaTheme="majorEastAsia" w:hAnsiTheme="majorHAnsi" w:cstheme="majorBidi"/>
      <w:b/>
      <w:bCs/>
      <w:color w:val="580019" w:themeColor="accent2" w:themeShade="80"/>
      <w:sz w:val="22"/>
      <w:szCs w:val="22"/>
    </w:rPr>
  </w:style>
  <w:style w:type="paragraph" w:styleId="Heading8">
    <w:name w:val="heading 8"/>
    <w:basedOn w:val="Normal"/>
    <w:next w:val="Normal"/>
    <w:link w:val="Heading8Char"/>
    <w:uiPriority w:val="9"/>
    <w:semiHidden/>
    <w:unhideWhenUsed/>
    <w:qFormat/>
    <w:rsid w:val="007E09B5"/>
    <w:pPr>
      <w:keepNext/>
      <w:keepLines/>
      <w:spacing w:before="80" w:after="0" w:line="240" w:lineRule="auto"/>
      <w:outlineLvl w:val="7"/>
    </w:pPr>
    <w:rPr>
      <w:rFonts w:asciiTheme="majorHAnsi" w:eastAsiaTheme="majorEastAsia" w:hAnsiTheme="majorHAnsi" w:cstheme="majorBidi"/>
      <w:color w:val="580019" w:themeColor="accent2" w:themeShade="80"/>
      <w:sz w:val="22"/>
      <w:szCs w:val="22"/>
    </w:rPr>
  </w:style>
  <w:style w:type="paragraph" w:styleId="Heading9">
    <w:name w:val="heading 9"/>
    <w:basedOn w:val="Normal"/>
    <w:next w:val="Normal"/>
    <w:link w:val="Heading9Char"/>
    <w:uiPriority w:val="9"/>
    <w:semiHidden/>
    <w:unhideWhenUsed/>
    <w:qFormat/>
    <w:rsid w:val="007E09B5"/>
    <w:pPr>
      <w:keepNext/>
      <w:keepLines/>
      <w:spacing w:before="80" w:after="0" w:line="240" w:lineRule="auto"/>
      <w:outlineLvl w:val="8"/>
    </w:pPr>
    <w:rPr>
      <w:rFonts w:asciiTheme="majorHAnsi" w:eastAsiaTheme="majorEastAsia" w:hAnsiTheme="majorHAnsi" w:cstheme="majorBidi"/>
      <w:i/>
      <w:iCs/>
      <w:color w:val="580019"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1339"/>
    <w:pPr>
      <w:spacing w:after="0" w:line="240" w:lineRule="auto"/>
      <w:contextualSpacing/>
    </w:pPr>
    <w:rPr>
      <w:rFonts w:asciiTheme="majorHAnsi" w:eastAsiaTheme="majorEastAsia" w:hAnsiTheme="majorHAnsi" w:cstheme="majorBidi"/>
      <w:color w:val="000000" w:themeColor="text1"/>
      <w:sz w:val="56"/>
      <w:szCs w:val="96"/>
    </w:rPr>
  </w:style>
  <w:style w:type="character" w:customStyle="1" w:styleId="TitleChar">
    <w:name w:val="Title Char"/>
    <w:basedOn w:val="DefaultParagraphFont"/>
    <w:link w:val="Title"/>
    <w:uiPriority w:val="10"/>
    <w:rsid w:val="009D1339"/>
    <w:rPr>
      <w:rFonts w:asciiTheme="majorHAnsi" w:eastAsiaTheme="majorEastAsia" w:hAnsiTheme="majorHAnsi" w:cstheme="majorBidi"/>
      <w:color w:val="000000" w:themeColor="text1"/>
      <w:sz w:val="56"/>
      <w:szCs w:val="96"/>
    </w:rPr>
  </w:style>
  <w:style w:type="character" w:customStyle="1" w:styleId="Heading1Char">
    <w:name w:val="Heading 1 Char"/>
    <w:basedOn w:val="DefaultParagraphFont"/>
    <w:link w:val="Heading1"/>
    <w:uiPriority w:val="9"/>
    <w:rsid w:val="009D1339"/>
    <w:rPr>
      <w:rFonts w:asciiTheme="majorHAnsi" w:eastAsiaTheme="majorEastAsia" w:hAnsiTheme="majorHAnsi" w:cstheme="majorBidi"/>
      <w:color w:val="74002C" w:themeColor="accent1"/>
      <w:sz w:val="40"/>
      <w:szCs w:val="40"/>
    </w:rPr>
  </w:style>
  <w:style w:type="character" w:customStyle="1" w:styleId="Heading2Char">
    <w:name w:val="Heading 2 Char"/>
    <w:basedOn w:val="DefaultParagraphFont"/>
    <w:link w:val="Heading2"/>
    <w:uiPriority w:val="9"/>
    <w:rsid w:val="009D1339"/>
    <w:rPr>
      <w:rFonts w:asciiTheme="majorHAnsi" w:eastAsiaTheme="majorEastAsia" w:hAnsiTheme="majorHAnsi" w:cstheme="majorBidi"/>
      <w:color w:val="B10033" w:themeColor="accent2"/>
      <w:sz w:val="32"/>
      <w:szCs w:val="36"/>
    </w:rPr>
  </w:style>
  <w:style w:type="character" w:customStyle="1" w:styleId="Heading3Char">
    <w:name w:val="Heading 3 Char"/>
    <w:basedOn w:val="DefaultParagraphFont"/>
    <w:link w:val="Heading3"/>
    <w:uiPriority w:val="9"/>
    <w:rsid w:val="009D1339"/>
    <w:rPr>
      <w:rFonts w:asciiTheme="majorHAnsi" w:eastAsiaTheme="majorEastAsia" w:hAnsiTheme="majorHAnsi" w:cstheme="majorBidi"/>
      <w:color w:val="C55F09" w:themeColor="accent3" w:themeShade="BF"/>
      <w:sz w:val="28"/>
      <w:szCs w:val="32"/>
    </w:rPr>
  </w:style>
  <w:style w:type="character" w:customStyle="1" w:styleId="Heading4Char">
    <w:name w:val="Heading 4 Char"/>
    <w:basedOn w:val="DefaultParagraphFont"/>
    <w:link w:val="Heading4"/>
    <w:uiPriority w:val="9"/>
    <w:semiHidden/>
    <w:rsid w:val="007E09B5"/>
    <w:rPr>
      <w:rFonts w:asciiTheme="majorHAnsi" w:eastAsiaTheme="majorEastAsia" w:hAnsiTheme="majorHAnsi" w:cstheme="majorBidi"/>
      <w:i/>
      <w:iCs/>
      <w:color w:val="580019" w:themeColor="accent2" w:themeShade="80"/>
      <w:sz w:val="28"/>
      <w:szCs w:val="28"/>
    </w:rPr>
  </w:style>
  <w:style w:type="character" w:customStyle="1" w:styleId="Heading5Char">
    <w:name w:val="Heading 5 Char"/>
    <w:basedOn w:val="DefaultParagraphFont"/>
    <w:link w:val="Heading5"/>
    <w:uiPriority w:val="9"/>
    <w:semiHidden/>
    <w:rsid w:val="007E09B5"/>
    <w:rPr>
      <w:rFonts w:asciiTheme="majorHAnsi" w:eastAsiaTheme="majorEastAsia" w:hAnsiTheme="majorHAnsi" w:cstheme="majorBidi"/>
      <w:color w:val="840025" w:themeColor="accent2" w:themeShade="BF"/>
      <w:sz w:val="24"/>
      <w:szCs w:val="24"/>
    </w:rPr>
  </w:style>
  <w:style w:type="character" w:customStyle="1" w:styleId="Heading6Char">
    <w:name w:val="Heading 6 Char"/>
    <w:basedOn w:val="DefaultParagraphFont"/>
    <w:link w:val="Heading6"/>
    <w:uiPriority w:val="9"/>
    <w:semiHidden/>
    <w:rsid w:val="007E09B5"/>
    <w:rPr>
      <w:rFonts w:asciiTheme="majorHAnsi" w:eastAsiaTheme="majorEastAsia" w:hAnsiTheme="majorHAnsi" w:cstheme="majorBidi"/>
      <w:i/>
      <w:iCs/>
      <w:color w:val="580019" w:themeColor="accent2" w:themeShade="80"/>
      <w:sz w:val="24"/>
      <w:szCs w:val="24"/>
    </w:rPr>
  </w:style>
  <w:style w:type="character" w:customStyle="1" w:styleId="Heading7Char">
    <w:name w:val="Heading 7 Char"/>
    <w:basedOn w:val="DefaultParagraphFont"/>
    <w:link w:val="Heading7"/>
    <w:uiPriority w:val="9"/>
    <w:semiHidden/>
    <w:rsid w:val="007E09B5"/>
    <w:rPr>
      <w:rFonts w:asciiTheme="majorHAnsi" w:eastAsiaTheme="majorEastAsia" w:hAnsiTheme="majorHAnsi" w:cstheme="majorBidi"/>
      <w:b/>
      <w:bCs/>
      <w:color w:val="580019" w:themeColor="accent2" w:themeShade="80"/>
      <w:sz w:val="22"/>
      <w:szCs w:val="22"/>
    </w:rPr>
  </w:style>
  <w:style w:type="character" w:customStyle="1" w:styleId="Heading8Char">
    <w:name w:val="Heading 8 Char"/>
    <w:basedOn w:val="DefaultParagraphFont"/>
    <w:link w:val="Heading8"/>
    <w:uiPriority w:val="9"/>
    <w:semiHidden/>
    <w:rsid w:val="007E09B5"/>
    <w:rPr>
      <w:rFonts w:asciiTheme="majorHAnsi" w:eastAsiaTheme="majorEastAsia" w:hAnsiTheme="majorHAnsi" w:cstheme="majorBidi"/>
      <w:color w:val="580019" w:themeColor="accent2" w:themeShade="80"/>
      <w:sz w:val="22"/>
      <w:szCs w:val="22"/>
    </w:rPr>
  </w:style>
  <w:style w:type="character" w:customStyle="1" w:styleId="Heading9Char">
    <w:name w:val="Heading 9 Char"/>
    <w:basedOn w:val="DefaultParagraphFont"/>
    <w:link w:val="Heading9"/>
    <w:uiPriority w:val="9"/>
    <w:semiHidden/>
    <w:rsid w:val="007E09B5"/>
    <w:rPr>
      <w:rFonts w:asciiTheme="majorHAnsi" w:eastAsiaTheme="majorEastAsia" w:hAnsiTheme="majorHAnsi" w:cstheme="majorBidi"/>
      <w:i/>
      <w:iCs/>
      <w:color w:val="580019" w:themeColor="accent2" w:themeShade="80"/>
      <w:sz w:val="22"/>
      <w:szCs w:val="22"/>
    </w:rPr>
  </w:style>
  <w:style w:type="paragraph" w:styleId="Caption">
    <w:name w:val="caption"/>
    <w:basedOn w:val="Normal"/>
    <w:next w:val="Normal"/>
    <w:uiPriority w:val="35"/>
    <w:unhideWhenUsed/>
    <w:qFormat/>
    <w:rsid w:val="007E09B5"/>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7E09B5"/>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7E09B5"/>
    <w:rPr>
      <w:caps/>
      <w:color w:val="404040" w:themeColor="text1" w:themeTint="BF"/>
      <w:spacing w:val="20"/>
      <w:sz w:val="28"/>
      <w:szCs w:val="28"/>
    </w:rPr>
  </w:style>
  <w:style w:type="character" w:styleId="Strong">
    <w:name w:val="Strong"/>
    <w:basedOn w:val="DefaultParagraphFont"/>
    <w:uiPriority w:val="22"/>
    <w:qFormat/>
    <w:rsid w:val="007E09B5"/>
    <w:rPr>
      <w:b/>
      <w:bCs/>
    </w:rPr>
  </w:style>
  <w:style w:type="character" w:styleId="Emphasis">
    <w:name w:val="Emphasis"/>
    <w:basedOn w:val="DefaultParagraphFont"/>
    <w:uiPriority w:val="20"/>
    <w:qFormat/>
    <w:rsid w:val="007E09B5"/>
    <w:rPr>
      <w:i/>
      <w:iCs/>
      <w:color w:val="000000" w:themeColor="text1"/>
    </w:rPr>
  </w:style>
  <w:style w:type="paragraph" w:styleId="NoSpacing">
    <w:name w:val="No Spacing"/>
    <w:uiPriority w:val="1"/>
    <w:qFormat/>
    <w:rsid w:val="007E09B5"/>
    <w:pPr>
      <w:spacing w:after="0" w:line="240" w:lineRule="auto"/>
    </w:pPr>
  </w:style>
  <w:style w:type="paragraph" w:styleId="Quote">
    <w:name w:val="Quote"/>
    <w:basedOn w:val="Normal"/>
    <w:next w:val="Normal"/>
    <w:link w:val="QuoteChar"/>
    <w:uiPriority w:val="29"/>
    <w:qFormat/>
    <w:rsid w:val="007E09B5"/>
    <w:pPr>
      <w:spacing w:before="160"/>
      <w:ind w:left="720" w:right="720"/>
      <w:jc w:val="center"/>
    </w:pPr>
    <w:rPr>
      <w:rFonts w:asciiTheme="majorHAnsi" w:eastAsiaTheme="majorEastAsia" w:hAnsiTheme="majorHAnsi" w:cstheme="majorBidi"/>
      <w:color w:val="000000" w:themeColor="text1"/>
      <w:szCs w:val="24"/>
    </w:rPr>
  </w:style>
  <w:style w:type="character" w:customStyle="1" w:styleId="QuoteChar">
    <w:name w:val="Quote Char"/>
    <w:basedOn w:val="DefaultParagraphFont"/>
    <w:link w:val="Quote"/>
    <w:uiPriority w:val="29"/>
    <w:rsid w:val="007E09B5"/>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7E09B5"/>
    <w:pPr>
      <w:pBdr>
        <w:top w:val="single" w:sz="24" w:space="4" w:color="B10033" w:themeColor="accent2"/>
      </w:pBdr>
      <w:spacing w:before="240" w:after="240" w:line="240" w:lineRule="auto"/>
      <w:ind w:left="936" w:right="936"/>
      <w:jc w:val="center"/>
    </w:pPr>
    <w:rPr>
      <w:rFonts w:asciiTheme="majorHAnsi" w:eastAsiaTheme="majorEastAsia" w:hAnsiTheme="majorHAnsi" w:cstheme="majorBidi"/>
      <w:szCs w:val="24"/>
    </w:rPr>
  </w:style>
  <w:style w:type="character" w:customStyle="1" w:styleId="IntenseQuoteChar">
    <w:name w:val="Intense Quote Char"/>
    <w:basedOn w:val="DefaultParagraphFont"/>
    <w:link w:val="IntenseQuote"/>
    <w:uiPriority w:val="30"/>
    <w:rsid w:val="007E09B5"/>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7E09B5"/>
    <w:rPr>
      <w:i/>
      <w:iCs/>
      <w:color w:val="595959" w:themeColor="text1" w:themeTint="A6"/>
    </w:rPr>
  </w:style>
  <w:style w:type="character" w:styleId="IntenseEmphasis">
    <w:name w:val="Intense Emphasis"/>
    <w:basedOn w:val="DefaultParagraphFont"/>
    <w:uiPriority w:val="21"/>
    <w:qFormat/>
    <w:rsid w:val="007E09B5"/>
    <w:rPr>
      <w:b/>
      <w:bCs/>
      <w:i/>
      <w:iCs/>
      <w:caps w:val="0"/>
      <w:smallCaps w:val="0"/>
      <w:strike w:val="0"/>
      <w:dstrike w:val="0"/>
      <w:color w:val="B10033" w:themeColor="accent2"/>
    </w:rPr>
  </w:style>
  <w:style w:type="character" w:styleId="SubtleReference">
    <w:name w:val="Subtle Reference"/>
    <w:basedOn w:val="DefaultParagraphFont"/>
    <w:uiPriority w:val="31"/>
    <w:qFormat/>
    <w:rsid w:val="007E09B5"/>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7E09B5"/>
    <w:rPr>
      <w:b/>
      <w:bCs/>
      <w:caps w:val="0"/>
      <w:smallCaps/>
      <w:color w:val="auto"/>
      <w:spacing w:val="0"/>
      <w:u w:val="single"/>
    </w:rPr>
  </w:style>
  <w:style w:type="character" w:styleId="BookTitle">
    <w:name w:val="Book Title"/>
    <w:basedOn w:val="DefaultParagraphFont"/>
    <w:uiPriority w:val="33"/>
    <w:qFormat/>
    <w:rsid w:val="007E09B5"/>
    <w:rPr>
      <w:b/>
      <w:bCs/>
      <w:caps w:val="0"/>
      <w:smallCaps/>
      <w:spacing w:val="0"/>
    </w:rPr>
  </w:style>
  <w:style w:type="paragraph" w:styleId="TOCHeading">
    <w:name w:val="TOC Heading"/>
    <w:basedOn w:val="Heading1"/>
    <w:next w:val="Normal"/>
    <w:uiPriority w:val="39"/>
    <w:semiHidden/>
    <w:unhideWhenUsed/>
    <w:qFormat/>
    <w:rsid w:val="007E09B5"/>
    <w:pPr>
      <w:outlineLvl w:val="9"/>
    </w:pPr>
  </w:style>
  <w:style w:type="paragraph" w:styleId="ListParagraph">
    <w:name w:val="List Paragraph"/>
    <w:basedOn w:val="Normal"/>
    <w:uiPriority w:val="34"/>
    <w:qFormat/>
    <w:rsid w:val="00BF7D69"/>
    <w:pPr>
      <w:ind w:left="720"/>
      <w:contextualSpacing/>
    </w:pPr>
  </w:style>
  <w:style w:type="table" w:styleId="TableGrid">
    <w:name w:val="Table Grid"/>
    <w:basedOn w:val="TableNormal"/>
    <w:uiPriority w:val="39"/>
    <w:rsid w:val="00E52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521FB"/>
    <w:rPr>
      <w:color w:val="0563C1" w:themeColor="hyperlink"/>
      <w:u w:val="single"/>
    </w:rPr>
  </w:style>
  <w:style w:type="character" w:styleId="UnresolvedMention">
    <w:name w:val="Unresolved Mention"/>
    <w:basedOn w:val="DefaultParagraphFont"/>
    <w:uiPriority w:val="99"/>
    <w:semiHidden/>
    <w:unhideWhenUsed/>
    <w:rsid w:val="00E521FB"/>
    <w:rPr>
      <w:color w:val="605E5C"/>
      <w:shd w:val="clear" w:color="auto" w:fill="E1DFDD"/>
    </w:rPr>
  </w:style>
  <w:style w:type="paragraph" w:styleId="Header">
    <w:name w:val="header"/>
    <w:basedOn w:val="Normal"/>
    <w:link w:val="HeaderChar"/>
    <w:uiPriority w:val="99"/>
    <w:unhideWhenUsed/>
    <w:rsid w:val="00860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C79"/>
    <w:rPr>
      <w:sz w:val="24"/>
    </w:rPr>
  </w:style>
  <w:style w:type="paragraph" w:styleId="Footer">
    <w:name w:val="footer"/>
    <w:basedOn w:val="Normal"/>
    <w:link w:val="FooterChar"/>
    <w:uiPriority w:val="99"/>
    <w:unhideWhenUsed/>
    <w:rsid w:val="00860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C79"/>
    <w:rPr>
      <w:sz w:val="24"/>
    </w:rPr>
  </w:style>
  <w:style w:type="character" w:styleId="CommentReference">
    <w:name w:val="annotation reference"/>
    <w:basedOn w:val="DefaultParagraphFont"/>
    <w:uiPriority w:val="99"/>
    <w:semiHidden/>
    <w:unhideWhenUsed/>
    <w:rsid w:val="002645A5"/>
    <w:rPr>
      <w:sz w:val="16"/>
      <w:szCs w:val="16"/>
    </w:rPr>
  </w:style>
  <w:style w:type="paragraph" w:styleId="CommentText">
    <w:name w:val="annotation text"/>
    <w:basedOn w:val="Normal"/>
    <w:link w:val="CommentTextChar"/>
    <w:uiPriority w:val="99"/>
    <w:semiHidden/>
    <w:unhideWhenUsed/>
    <w:rsid w:val="002645A5"/>
    <w:pPr>
      <w:spacing w:line="240" w:lineRule="auto"/>
    </w:pPr>
    <w:rPr>
      <w:sz w:val="20"/>
      <w:szCs w:val="20"/>
    </w:rPr>
  </w:style>
  <w:style w:type="character" w:customStyle="1" w:styleId="CommentTextChar">
    <w:name w:val="Comment Text Char"/>
    <w:basedOn w:val="DefaultParagraphFont"/>
    <w:link w:val="CommentText"/>
    <w:uiPriority w:val="99"/>
    <w:semiHidden/>
    <w:rsid w:val="002645A5"/>
    <w:rPr>
      <w:sz w:val="20"/>
      <w:szCs w:val="20"/>
    </w:rPr>
  </w:style>
  <w:style w:type="paragraph" w:styleId="CommentSubject">
    <w:name w:val="annotation subject"/>
    <w:basedOn w:val="CommentText"/>
    <w:next w:val="CommentText"/>
    <w:link w:val="CommentSubjectChar"/>
    <w:uiPriority w:val="99"/>
    <w:semiHidden/>
    <w:unhideWhenUsed/>
    <w:rsid w:val="002645A5"/>
    <w:rPr>
      <w:b/>
      <w:bCs/>
    </w:rPr>
  </w:style>
  <w:style w:type="character" w:customStyle="1" w:styleId="CommentSubjectChar">
    <w:name w:val="Comment Subject Char"/>
    <w:basedOn w:val="CommentTextChar"/>
    <w:link w:val="CommentSubject"/>
    <w:uiPriority w:val="99"/>
    <w:semiHidden/>
    <w:rsid w:val="002645A5"/>
    <w:rPr>
      <w:b/>
      <w:bCs/>
      <w:sz w:val="20"/>
      <w:szCs w:val="20"/>
    </w:rPr>
  </w:style>
  <w:style w:type="paragraph" w:styleId="BalloonText">
    <w:name w:val="Balloon Text"/>
    <w:basedOn w:val="Normal"/>
    <w:link w:val="BalloonTextChar"/>
    <w:uiPriority w:val="99"/>
    <w:semiHidden/>
    <w:unhideWhenUsed/>
    <w:rsid w:val="002645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5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mailto:julie.farnand@mohawkcollege.ca?subject=eCo-Op" TargetMode="External"/><Relationship Id="rId26" Type="http://schemas.openxmlformats.org/officeDocument/2006/relationships/hyperlink" Target="https://docs.google.com/spreadsheets/d/1uwWvAzAiQDueKXkxvqF6rS84oae2AU7eD8bhxzJ9SdY/edit" TargetMode="External"/><Relationship Id="rId39" Type="http://schemas.openxmlformats.org/officeDocument/2006/relationships/hyperlink" Target="https://www.virtualmicroscope.org/collections" TargetMode="External"/><Relationship Id="rId3" Type="http://schemas.openxmlformats.org/officeDocument/2006/relationships/styles" Target="styles.xml"/><Relationship Id="rId21" Type="http://schemas.openxmlformats.org/officeDocument/2006/relationships/hyperlink" Target="https://www.citylabhamilton.com/getinvolved" TargetMode="External"/><Relationship Id="rId34" Type="http://schemas.openxmlformats.org/officeDocument/2006/relationships/hyperlink" Target="https://www.experiencepoint.com/" TargetMode="External"/><Relationship Id="rId42" Type="http://schemas.openxmlformats.org/officeDocument/2006/relationships/hyperlink" Target="https://www.geogebra.org/"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citylabhamilton.com/getinvolved" TargetMode="External"/><Relationship Id="rId25" Type="http://schemas.openxmlformats.org/officeDocument/2006/relationships/hyperlink" Target="https://docs.google.com/spreadsheets/d/1uwWvAzAiQDueKXkxvqF6rS84oae2AU7eD8bhxzJ9SdY/edit" TargetMode="External"/><Relationship Id="rId33" Type="http://schemas.openxmlformats.org/officeDocument/2006/relationships/hyperlink" Target="https://www.mohawkcollege.ca/eon-reality-inc-and-mohawk-college-partnership" TargetMode="External"/><Relationship Id="rId38" Type="http://schemas.openxmlformats.org/officeDocument/2006/relationships/hyperlink" Target="http://www.ontariosimalliance.ca/community/virtual-community/"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mohawkcollege.ca/experiential-learning" TargetMode="External"/><Relationship Id="rId20" Type="http://schemas.openxmlformats.org/officeDocument/2006/relationships/hyperlink" Target="https://www.riipen.com/" TargetMode="External"/><Relationship Id="rId29" Type="http://schemas.openxmlformats.org/officeDocument/2006/relationships/hyperlink" Target="https://www.riipen.com/" TargetMode="External"/><Relationship Id="rId41" Type="http://schemas.openxmlformats.org/officeDocument/2006/relationships/hyperlink" Target="https://zoom.us/webinar/register/rec/WN_cmoejquPSV2ikI8mbjQr4w?meetingId=tcUkHrHg62FIe4WKthv_WqQiNYX3aaa80SUa_KZbn099EsoipHpTICfDk-VMExT-&amp;playId=7pYpdbv8-G43TtXAsASDAPYsW43vL66s0XUf-PYJxUeyWndQNVr1ZeZDNuSbongpsHzBYIz-KDUyO_sc&amp;action=play&amp;_x_zm_rtaid=d_BiHNrpRZOirNN11ML3oQ.1588010131292.2e89743504d526f9cf4f6df703cf52d9&amp;_x_zm_rhtaid=5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arvr.google.com/tourcreator/" TargetMode="External"/><Relationship Id="rId32" Type="http://schemas.openxmlformats.org/officeDocument/2006/relationships/hyperlink" Target="https://www.labster.com/" TargetMode="External"/><Relationship Id="rId37" Type="http://schemas.openxmlformats.org/officeDocument/2006/relationships/hyperlink" Target="https://sites.google.com/ncsu.edu/ncstatevrorganicchemistrylabs/home" TargetMode="External"/><Relationship Id="rId40" Type="http://schemas.openxmlformats.org/officeDocument/2006/relationships/hyperlink" Target="https://neuromembrane.ualberta.ca/account/login"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mohawkcollege.ca/employees/centre-for-teaching-learning/about-ctl/ctl-staff-directory" TargetMode="External"/><Relationship Id="rId23" Type="http://schemas.openxmlformats.org/officeDocument/2006/relationships/hyperlink" Target="https://www.mohawkcollege.ca/programs/co-operative-education/co-op-programs-and-contacts" TargetMode="External"/><Relationship Id="rId28" Type="http://schemas.openxmlformats.org/officeDocument/2006/relationships/hyperlink" Target="https://docs.google.com/spreadsheets/d/1-R6THvCIcAjGrWRspCN915SIzItdZ95ziwiF8BmQrYc/edit" TargetMode="External"/><Relationship Id="rId36" Type="http://schemas.openxmlformats.org/officeDocument/2006/relationships/hyperlink" Target="https://phet.colorado.edu/" TargetMode="External"/><Relationship Id="rId10" Type="http://schemas.openxmlformats.org/officeDocument/2006/relationships/header" Target="header2.xml"/><Relationship Id="rId19" Type="http://schemas.openxmlformats.org/officeDocument/2006/relationships/hyperlink" Target="mailto:ryan.anderson2@mohawkcollege.ca?subject=eCo-Op%20" TargetMode="External"/><Relationship Id="rId31" Type="http://schemas.openxmlformats.org/officeDocument/2006/relationships/hyperlink" Target="https://www.mohawkcollege.ca/agency" TargetMode="External"/><Relationship Id="rId44"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julie.farnand@mohawkcollege.ca?subject=eCo-Op" TargetMode="External"/><Relationship Id="rId27" Type="http://schemas.openxmlformats.org/officeDocument/2006/relationships/hyperlink" Target="https://www.agu.org/learn-and-develop/learn/streetcar2subduction/streetcar2subduction" TargetMode="External"/><Relationship Id="rId30" Type="http://schemas.openxmlformats.org/officeDocument/2006/relationships/hyperlink" Target="https://www.citylabhamilton.com/getinvolved" TargetMode="External"/><Relationship Id="rId35" Type="http://schemas.openxmlformats.org/officeDocument/2006/relationships/hyperlink" Target="https://web.stratxsimulations.com/simulation/business-simulations-overview/" TargetMode="External"/><Relationship Id="rId43" Type="http://schemas.openxmlformats.org/officeDocument/2006/relationships/hyperlink" Target="https://www.si.edu/openaccess"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s://creativecommons.org/licenses/by-nc-sa/4.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Mohawk">
      <a:dk1>
        <a:sysClr val="windowText" lastClr="000000"/>
      </a:dk1>
      <a:lt1>
        <a:sysClr val="window" lastClr="FFFFFF"/>
      </a:lt1>
      <a:dk2>
        <a:srgbClr val="44546A"/>
      </a:dk2>
      <a:lt2>
        <a:srgbClr val="E7E6E6"/>
      </a:lt2>
      <a:accent1>
        <a:srgbClr val="74002C"/>
      </a:accent1>
      <a:accent2>
        <a:srgbClr val="B10033"/>
      </a:accent2>
      <a:accent3>
        <a:srgbClr val="F5821F"/>
      </a:accent3>
      <a:accent4>
        <a:srgbClr val="3F3F3F"/>
      </a:accent4>
      <a:accent5>
        <a:srgbClr val="000000"/>
      </a:accent5>
      <a:accent6>
        <a:srgbClr val="000000"/>
      </a:accent6>
      <a:hlink>
        <a:srgbClr val="0563C1"/>
      </a:hlink>
      <a:folHlink>
        <a:srgbClr val="B100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0654C-741B-4243-97C1-3210BD765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1929</Words>
  <Characters>10999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Griffiths, Lauren</dc:creator>
  <cp:keywords/>
  <dc:description/>
  <cp:lastModifiedBy>Griffiths, Lauren</cp:lastModifiedBy>
  <cp:revision>2</cp:revision>
  <dcterms:created xsi:type="dcterms:W3CDTF">2020-07-10T18:05:00Z</dcterms:created>
  <dcterms:modified xsi:type="dcterms:W3CDTF">2020-07-10T18:05:00Z</dcterms:modified>
</cp:coreProperties>
</file>