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261" w:rsidRPr="0056612D" w:rsidRDefault="00387261" w:rsidP="0056612D">
      <w:pPr>
        <w:pStyle w:val="Heading1"/>
        <w:rPr>
          <w:sz w:val="36"/>
          <w:szCs w:val="36"/>
        </w:rPr>
      </w:pPr>
      <w:bookmarkStart w:id="0" w:name="_GoBack"/>
      <w:bookmarkEnd w:id="0"/>
      <w:r w:rsidRPr="0056612D">
        <w:rPr>
          <w:sz w:val="36"/>
          <w:szCs w:val="36"/>
        </w:rPr>
        <w:t>Writing Centre</w:t>
      </w:r>
    </w:p>
    <w:p w:rsidR="006E6FC7" w:rsidRPr="0056612D" w:rsidRDefault="006E6FC7" w:rsidP="0056612D">
      <w:pPr>
        <w:pStyle w:val="Heading1"/>
        <w:rPr>
          <w:rFonts w:cs="Calibri"/>
          <w:sz w:val="32"/>
          <w:szCs w:val="32"/>
        </w:rPr>
      </w:pPr>
      <w:r w:rsidRPr="0056612D">
        <w:rPr>
          <w:rFonts w:cs="Calibri"/>
          <w:sz w:val="32"/>
          <w:szCs w:val="32"/>
        </w:rPr>
        <w:t>VERB AGREEMENT</w:t>
      </w:r>
    </w:p>
    <w:p w:rsidR="006E6FC7" w:rsidRPr="0056612D" w:rsidRDefault="006E6FC7" w:rsidP="0056612D">
      <w:pPr>
        <w:rPr>
          <w:rFonts w:cs="Calibri"/>
          <w:szCs w:val="24"/>
          <w:u w:val="single"/>
        </w:rPr>
      </w:pPr>
    </w:p>
    <w:p w:rsidR="006E6FC7" w:rsidRPr="0056612D" w:rsidRDefault="006E6FC7" w:rsidP="0056612D">
      <w:pPr>
        <w:pStyle w:val="ListParagraph"/>
        <w:numPr>
          <w:ilvl w:val="0"/>
          <w:numId w:val="3"/>
        </w:numPr>
        <w:rPr>
          <w:rFonts w:ascii="Verdana" w:hAnsi="Verdana" w:cs="Calibri"/>
          <w:color w:val="000000"/>
          <w:szCs w:val="24"/>
        </w:rPr>
      </w:pPr>
      <w:r w:rsidRPr="0056612D">
        <w:rPr>
          <w:rFonts w:ascii="Verdana" w:hAnsi="Verdana" w:cs="Calibri"/>
          <w:color w:val="000000"/>
          <w:szCs w:val="24"/>
        </w:rPr>
        <w:t xml:space="preserve">Use a plural verb when the subject of a sentence is composed of two or more nouns or pronouns connected by “and” </w:t>
      </w:r>
    </w:p>
    <w:p w:rsidR="006E6FC7" w:rsidRPr="0056612D" w:rsidRDefault="006E6FC7" w:rsidP="0056612D">
      <w:pPr>
        <w:rPr>
          <w:rFonts w:cs="Calibri"/>
          <w:i/>
          <w:color w:val="000000"/>
          <w:szCs w:val="24"/>
        </w:rPr>
      </w:pPr>
    </w:p>
    <w:p w:rsidR="006E6FC7" w:rsidRPr="0056612D" w:rsidRDefault="006E6FC7" w:rsidP="0056612D">
      <w:pPr>
        <w:ind w:firstLine="720"/>
        <w:rPr>
          <w:rFonts w:cs="Calibri"/>
          <w:b/>
          <w:color w:val="B30838"/>
          <w:szCs w:val="24"/>
        </w:rPr>
      </w:pPr>
      <w:r w:rsidRPr="0056612D">
        <w:rPr>
          <w:rFonts w:cs="Calibri"/>
          <w:b/>
          <w:color w:val="B30838"/>
          <w:szCs w:val="24"/>
        </w:rPr>
        <w:t>Example:</w:t>
      </w:r>
    </w:p>
    <w:p w:rsidR="006E6FC7" w:rsidRPr="0056612D" w:rsidRDefault="006E6FC7" w:rsidP="0056612D">
      <w:pPr>
        <w:ind w:firstLine="720"/>
        <w:rPr>
          <w:rFonts w:cs="Calibri"/>
          <w:color w:val="000000"/>
          <w:szCs w:val="24"/>
        </w:rPr>
      </w:pPr>
      <w:r w:rsidRPr="0056612D">
        <w:rPr>
          <w:rFonts w:cs="Calibri"/>
          <w:color w:val="000000"/>
          <w:szCs w:val="24"/>
        </w:rPr>
        <w:t xml:space="preserve">She </w:t>
      </w:r>
      <w:r w:rsidRPr="0056612D">
        <w:rPr>
          <w:rFonts w:cs="Calibri"/>
          <w:i/>
          <w:color w:val="000000"/>
          <w:szCs w:val="24"/>
        </w:rPr>
        <w:t>and</w:t>
      </w:r>
      <w:r w:rsidRPr="0056612D">
        <w:rPr>
          <w:rFonts w:cs="Calibri"/>
          <w:color w:val="000000"/>
          <w:szCs w:val="24"/>
        </w:rPr>
        <w:t xml:space="preserve"> her friends are at the mall</w:t>
      </w:r>
    </w:p>
    <w:p w:rsidR="006E6FC7" w:rsidRPr="0056612D" w:rsidRDefault="006E6FC7" w:rsidP="0056612D">
      <w:pPr>
        <w:rPr>
          <w:rFonts w:cs="Calibri"/>
          <w:color w:val="000000"/>
          <w:szCs w:val="24"/>
        </w:rPr>
      </w:pPr>
    </w:p>
    <w:p w:rsidR="006E6FC7" w:rsidRPr="0056612D" w:rsidRDefault="006E6FC7" w:rsidP="0056612D">
      <w:pPr>
        <w:pStyle w:val="ListParagraph"/>
        <w:numPr>
          <w:ilvl w:val="0"/>
          <w:numId w:val="3"/>
        </w:numPr>
        <w:rPr>
          <w:rFonts w:ascii="Verdana" w:hAnsi="Verdana" w:cs="Calibri"/>
          <w:color w:val="000000"/>
          <w:szCs w:val="24"/>
        </w:rPr>
      </w:pPr>
      <w:r w:rsidRPr="0056612D">
        <w:rPr>
          <w:rFonts w:ascii="Verdana" w:hAnsi="Verdana" w:cs="Calibri"/>
          <w:color w:val="000000"/>
          <w:szCs w:val="24"/>
        </w:rPr>
        <w:t>Use a singular verb when two or more singular nouns or pronouns are connected by “or” or “nor”.</w:t>
      </w:r>
    </w:p>
    <w:p w:rsidR="006E6FC7" w:rsidRPr="0056612D" w:rsidRDefault="006E6FC7" w:rsidP="0056612D">
      <w:pPr>
        <w:rPr>
          <w:rFonts w:cs="Calibri"/>
          <w:i/>
          <w:color w:val="000000"/>
          <w:szCs w:val="24"/>
        </w:rPr>
      </w:pPr>
    </w:p>
    <w:p w:rsidR="006E6FC7" w:rsidRPr="0056612D" w:rsidRDefault="006E6FC7" w:rsidP="0056612D">
      <w:pPr>
        <w:ind w:firstLine="720"/>
        <w:rPr>
          <w:rFonts w:cs="Calibri"/>
          <w:b/>
          <w:color w:val="B30838"/>
          <w:szCs w:val="24"/>
        </w:rPr>
      </w:pPr>
      <w:r w:rsidRPr="0056612D">
        <w:rPr>
          <w:rFonts w:cs="Calibri"/>
          <w:b/>
          <w:color w:val="B30838"/>
          <w:szCs w:val="24"/>
        </w:rPr>
        <w:t>Example:</w:t>
      </w:r>
    </w:p>
    <w:p w:rsidR="006E6FC7" w:rsidRPr="0056612D" w:rsidRDefault="006E6FC7" w:rsidP="0056612D">
      <w:pPr>
        <w:ind w:firstLine="720"/>
        <w:rPr>
          <w:rFonts w:cs="Calibri"/>
          <w:color w:val="000000"/>
          <w:szCs w:val="24"/>
        </w:rPr>
      </w:pPr>
      <w:r w:rsidRPr="0056612D">
        <w:rPr>
          <w:rFonts w:cs="Calibri"/>
          <w:color w:val="000000"/>
          <w:szCs w:val="24"/>
        </w:rPr>
        <w:t xml:space="preserve">The book </w:t>
      </w:r>
      <w:r w:rsidRPr="0056612D">
        <w:rPr>
          <w:rFonts w:cs="Calibri"/>
          <w:i/>
          <w:color w:val="000000"/>
          <w:szCs w:val="24"/>
        </w:rPr>
        <w:t>or</w:t>
      </w:r>
      <w:r w:rsidRPr="0056612D">
        <w:rPr>
          <w:rFonts w:cs="Calibri"/>
          <w:color w:val="000000"/>
          <w:szCs w:val="24"/>
        </w:rPr>
        <w:t xml:space="preserve"> the binder is in the drawer</w:t>
      </w:r>
    </w:p>
    <w:p w:rsidR="006E6FC7" w:rsidRPr="0056612D" w:rsidRDefault="006E6FC7" w:rsidP="0056612D">
      <w:pPr>
        <w:rPr>
          <w:rFonts w:cs="Calibri"/>
          <w:color w:val="000000"/>
          <w:szCs w:val="24"/>
        </w:rPr>
      </w:pPr>
    </w:p>
    <w:p w:rsidR="006E6FC7" w:rsidRPr="0056612D" w:rsidRDefault="006E6FC7" w:rsidP="0056612D">
      <w:pPr>
        <w:pStyle w:val="ListParagraph"/>
        <w:numPr>
          <w:ilvl w:val="0"/>
          <w:numId w:val="3"/>
        </w:numPr>
        <w:spacing w:after="120"/>
        <w:rPr>
          <w:rFonts w:ascii="Verdana" w:hAnsi="Verdana" w:cs="Calibri"/>
          <w:color w:val="000000"/>
          <w:szCs w:val="24"/>
        </w:rPr>
      </w:pPr>
      <w:r w:rsidRPr="0056612D">
        <w:rPr>
          <w:rFonts w:ascii="Verdana" w:hAnsi="Verdana" w:cs="Calibri"/>
          <w:b/>
          <w:color w:val="000000"/>
          <w:szCs w:val="24"/>
        </w:rPr>
        <w:t>Doesn't</w:t>
      </w:r>
      <w:r w:rsidRPr="0056612D">
        <w:rPr>
          <w:rFonts w:ascii="Verdana" w:hAnsi="Verdana" w:cs="Calibri"/>
          <w:color w:val="000000"/>
          <w:szCs w:val="24"/>
        </w:rPr>
        <w:t xml:space="preserve"> is a contraction of ‘does not’ and should be used only with a singular subject. </w:t>
      </w:r>
    </w:p>
    <w:p w:rsidR="006E6FC7" w:rsidRPr="0056612D" w:rsidRDefault="006E6FC7" w:rsidP="0056612D">
      <w:pPr>
        <w:spacing w:after="120"/>
        <w:ind w:left="720"/>
        <w:rPr>
          <w:rFonts w:cs="Calibri"/>
          <w:color w:val="000000"/>
          <w:szCs w:val="24"/>
        </w:rPr>
      </w:pPr>
      <w:r w:rsidRPr="0056612D">
        <w:rPr>
          <w:rFonts w:cs="Calibri"/>
          <w:b/>
          <w:color w:val="000000"/>
          <w:szCs w:val="24"/>
        </w:rPr>
        <w:t>Don't</w:t>
      </w:r>
      <w:r w:rsidRPr="0056612D">
        <w:rPr>
          <w:rFonts w:cs="Calibri"/>
          <w:i/>
          <w:color w:val="000000"/>
          <w:szCs w:val="24"/>
        </w:rPr>
        <w:t xml:space="preserve"> </w:t>
      </w:r>
      <w:r w:rsidRPr="0056612D">
        <w:rPr>
          <w:rFonts w:cs="Calibri"/>
          <w:color w:val="000000"/>
          <w:szCs w:val="24"/>
        </w:rPr>
        <w:t xml:space="preserve">is a contraction of ‘do not’ and should be used only with a plural subject. </w:t>
      </w:r>
    </w:p>
    <w:p w:rsidR="006E6FC7" w:rsidRPr="0056612D" w:rsidRDefault="006E6FC7" w:rsidP="0056612D">
      <w:pPr>
        <w:rPr>
          <w:rFonts w:cs="Calibri"/>
          <w:color w:val="000000"/>
          <w:szCs w:val="24"/>
        </w:rPr>
      </w:pPr>
    </w:p>
    <w:p w:rsidR="006E6FC7" w:rsidRPr="0056612D" w:rsidRDefault="006E6FC7" w:rsidP="00D84D74">
      <w:pPr>
        <w:ind w:left="720"/>
        <w:rPr>
          <w:rFonts w:cs="Calibri"/>
          <w:color w:val="000000"/>
          <w:szCs w:val="24"/>
        </w:rPr>
      </w:pPr>
      <w:r w:rsidRPr="0056612D">
        <w:rPr>
          <w:rFonts w:cs="Calibri"/>
          <w:color w:val="000000"/>
          <w:szCs w:val="24"/>
        </w:rPr>
        <w:t>The exception to this rule appears cases of first person and second person pronouns ‘I’ and ‘you’. With these pronouns, the contraction don't should be used.</w:t>
      </w:r>
    </w:p>
    <w:p w:rsidR="006E6FC7" w:rsidRPr="0056612D" w:rsidRDefault="006E6FC7" w:rsidP="0056612D">
      <w:pPr>
        <w:rPr>
          <w:rFonts w:cs="Calibri"/>
          <w:i/>
          <w:color w:val="000000"/>
          <w:szCs w:val="24"/>
        </w:rPr>
      </w:pPr>
    </w:p>
    <w:p w:rsidR="006E6FC7" w:rsidRPr="0056612D" w:rsidRDefault="006E6FC7" w:rsidP="00D84D74">
      <w:pPr>
        <w:ind w:firstLine="720"/>
        <w:rPr>
          <w:rFonts w:cs="Calibri"/>
          <w:b/>
          <w:color w:val="B30838"/>
          <w:szCs w:val="24"/>
        </w:rPr>
      </w:pPr>
      <w:r w:rsidRPr="0056612D">
        <w:rPr>
          <w:rFonts w:cs="Calibri"/>
          <w:b/>
          <w:color w:val="B30838"/>
          <w:szCs w:val="24"/>
        </w:rPr>
        <w:t>Example:</w:t>
      </w:r>
    </w:p>
    <w:p w:rsidR="006E6FC7" w:rsidRPr="0056612D" w:rsidRDefault="006E6FC7" w:rsidP="00D84D74">
      <w:pPr>
        <w:ind w:firstLine="720"/>
        <w:rPr>
          <w:rFonts w:cs="Calibri"/>
          <w:color w:val="000000"/>
          <w:szCs w:val="24"/>
        </w:rPr>
      </w:pPr>
      <w:r w:rsidRPr="0056612D">
        <w:rPr>
          <w:rFonts w:cs="Calibri"/>
          <w:color w:val="000000"/>
          <w:szCs w:val="24"/>
        </w:rPr>
        <w:t>She doesn’t like pizza.</w:t>
      </w:r>
    </w:p>
    <w:p w:rsidR="006E6FC7" w:rsidRPr="0056612D" w:rsidRDefault="006E6FC7" w:rsidP="00D84D74">
      <w:pPr>
        <w:ind w:firstLine="720"/>
        <w:rPr>
          <w:rFonts w:cs="Calibri"/>
          <w:color w:val="000000"/>
          <w:szCs w:val="24"/>
        </w:rPr>
      </w:pPr>
      <w:r w:rsidRPr="0056612D">
        <w:rPr>
          <w:rFonts w:cs="Calibri"/>
          <w:color w:val="000000"/>
          <w:szCs w:val="24"/>
        </w:rPr>
        <w:t>They don’t like pizza.</w:t>
      </w:r>
    </w:p>
    <w:p w:rsidR="006E6FC7" w:rsidRPr="0056612D" w:rsidRDefault="006E6FC7" w:rsidP="0056612D">
      <w:pPr>
        <w:rPr>
          <w:rFonts w:cs="Calibri"/>
          <w:color w:val="000000"/>
          <w:szCs w:val="24"/>
        </w:rPr>
      </w:pPr>
    </w:p>
    <w:p w:rsidR="006E6FC7" w:rsidRPr="0056612D" w:rsidRDefault="006E6FC7" w:rsidP="0056612D">
      <w:pPr>
        <w:pStyle w:val="ListParagraph"/>
        <w:numPr>
          <w:ilvl w:val="0"/>
          <w:numId w:val="3"/>
        </w:numPr>
        <w:rPr>
          <w:rFonts w:ascii="Verdana" w:hAnsi="Verdana" w:cs="Calibri"/>
          <w:color w:val="000000"/>
          <w:szCs w:val="24"/>
        </w:rPr>
      </w:pPr>
      <w:r w:rsidRPr="0056612D">
        <w:rPr>
          <w:rFonts w:ascii="Verdana" w:hAnsi="Verdana" w:cs="Calibri"/>
          <w:color w:val="000000"/>
          <w:szCs w:val="24"/>
        </w:rPr>
        <w:t>Nouns with only one part require singular verbs. (E.g. civics, mathematics, dollars, measles, and news.)</w:t>
      </w:r>
    </w:p>
    <w:p w:rsidR="006E6FC7" w:rsidRPr="0056612D" w:rsidRDefault="006E6FC7" w:rsidP="0056612D">
      <w:pPr>
        <w:rPr>
          <w:rFonts w:cs="Calibri"/>
          <w:color w:val="000000"/>
          <w:szCs w:val="24"/>
        </w:rPr>
      </w:pPr>
    </w:p>
    <w:p w:rsidR="006E6FC7" w:rsidRPr="0056612D" w:rsidRDefault="006E6FC7" w:rsidP="00D84D74">
      <w:pPr>
        <w:ind w:firstLine="720"/>
        <w:rPr>
          <w:rFonts w:cs="Calibri"/>
          <w:b/>
          <w:color w:val="B30838"/>
          <w:szCs w:val="24"/>
        </w:rPr>
      </w:pPr>
      <w:r w:rsidRPr="0056612D">
        <w:rPr>
          <w:rFonts w:cs="Calibri"/>
          <w:b/>
          <w:color w:val="B30838"/>
          <w:szCs w:val="24"/>
        </w:rPr>
        <w:t>Example:</w:t>
      </w:r>
    </w:p>
    <w:p w:rsidR="006E6FC7" w:rsidRPr="0056612D" w:rsidRDefault="006E6FC7" w:rsidP="00D84D74">
      <w:pPr>
        <w:ind w:firstLine="720"/>
        <w:rPr>
          <w:rFonts w:cs="Calibri"/>
          <w:color w:val="000000"/>
          <w:szCs w:val="24"/>
        </w:rPr>
      </w:pPr>
      <w:r w:rsidRPr="0056612D">
        <w:rPr>
          <w:rFonts w:cs="Calibri"/>
          <w:color w:val="000000"/>
          <w:szCs w:val="24"/>
        </w:rPr>
        <w:t>The car is in the driveway</w:t>
      </w:r>
    </w:p>
    <w:p w:rsidR="006E6FC7" w:rsidRPr="0056612D" w:rsidRDefault="006E6FC7" w:rsidP="0056612D">
      <w:pPr>
        <w:rPr>
          <w:rFonts w:cs="Calibri"/>
          <w:color w:val="000000"/>
          <w:szCs w:val="24"/>
        </w:rPr>
      </w:pPr>
    </w:p>
    <w:p w:rsidR="006E6FC7" w:rsidRPr="0056612D" w:rsidRDefault="006E6FC7" w:rsidP="0056612D">
      <w:pPr>
        <w:pStyle w:val="ListParagraph"/>
        <w:numPr>
          <w:ilvl w:val="0"/>
          <w:numId w:val="3"/>
        </w:numPr>
        <w:rPr>
          <w:rFonts w:ascii="Verdana" w:hAnsi="Verdana" w:cs="Calibri"/>
          <w:color w:val="000000"/>
          <w:szCs w:val="24"/>
        </w:rPr>
      </w:pPr>
      <w:r w:rsidRPr="0056612D">
        <w:rPr>
          <w:rFonts w:ascii="Verdana" w:hAnsi="Verdana" w:cs="Calibri"/>
          <w:color w:val="000000"/>
          <w:szCs w:val="24"/>
        </w:rPr>
        <w:t>Nouns with two parts require plural verbs. (E.g. tweezers, scissors, pants, shears.)</w:t>
      </w:r>
    </w:p>
    <w:p w:rsidR="006E6FC7" w:rsidRPr="0056612D" w:rsidRDefault="006E6FC7" w:rsidP="0056612D">
      <w:pPr>
        <w:rPr>
          <w:rFonts w:cs="Calibri"/>
          <w:b/>
          <w:color w:val="B30838"/>
          <w:szCs w:val="24"/>
        </w:rPr>
      </w:pPr>
    </w:p>
    <w:p w:rsidR="006E6FC7" w:rsidRPr="0056612D" w:rsidRDefault="006E6FC7" w:rsidP="00D84D74">
      <w:pPr>
        <w:ind w:firstLine="720"/>
        <w:rPr>
          <w:rFonts w:cs="Calibri"/>
          <w:b/>
          <w:color w:val="B30838"/>
          <w:szCs w:val="24"/>
        </w:rPr>
      </w:pPr>
      <w:r w:rsidRPr="0056612D">
        <w:rPr>
          <w:rFonts w:cs="Calibri"/>
          <w:b/>
          <w:color w:val="B30838"/>
          <w:szCs w:val="24"/>
        </w:rPr>
        <w:t>Example:</w:t>
      </w:r>
    </w:p>
    <w:p w:rsidR="006E6FC7" w:rsidRPr="0056612D" w:rsidRDefault="006E6FC7" w:rsidP="00D84D74">
      <w:pPr>
        <w:ind w:firstLine="720"/>
        <w:rPr>
          <w:rFonts w:cs="Calibri"/>
          <w:color w:val="000000"/>
          <w:szCs w:val="24"/>
        </w:rPr>
      </w:pPr>
      <w:r w:rsidRPr="0056612D">
        <w:rPr>
          <w:rFonts w:cs="Calibri"/>
          <w:color w:val="000000"/>
          <w:szCs w:val="24"/>
        </w:rPr>
        <w:t>The tweezers are dull</w:t>
      </w:r>
    </w:p>
    <w:p w:rsidR="006E6FC7" w:rsidRPr="0056612D" w:rsidRDefault="006E6FC7" w:rsidP="0056612D">
      <w:pPr>
        <w:rPr>
          <w:rFonts w:cs="Calibri"/>
          <w:color w:val="000000"/>
          <w:szCs w:val="24"/>
        </w:rPr>
      </w:pPr>
    </w:p>
    <w:p w:rsidR="006E6FC7" w:rsidRPr="0056612D" w:rsidRDefault="006E6FC7" w:rsidP="0056612D">
      <w:pPr>
        <w:pStyle w:val="ListParagraph"/>
        <w:numPr>
          <w:ilvl w:val="0"/>
          <w:numId w:val="3"/>
        </w:numPr>
        <w:rPr>
          <w:rFonts w:ascii="Verdana" w:hAnsi="Verdana" w:cs="Calibri"/>
          <w:color w:val="000000"/>
          <w:szCs w:val="24"/>
        </w:rPr>
      </w:pPr>
      <w:r w:rsidRPr="0056612D">
        <w:rPr>
          <w:rFonts w:ascii="Verdana" w:hAnsi="Verdana" w:cs="Calibri"/>
          <w:color w:val="000000"/>
          <w:szCs w:val="24"/>
        </w:rPr>
        <w:lastRenderedPageBreak/>
        <w:t xml:space="preserve">Expressions such as </w:t>
      </w:r>
      <w:r w:rsidRPr="0056612D">
        <w:rPr>
          <w:rFonts w:ascii="Verdana" w:hAnsi="Verdana" w:cs="Calibri"/>
          <w:i/>
          <w:color w:val="000000"/>
          <w:szCs w:val="24"/>
        </w:rPr>
        <w:t>with, together with, including, accompanied by, in addition to</w:t>
      </w:r>
      <w:r w:rsidRPr="0056612D">
        <w:rPr>
          <w:rFonts w:ascii="Verdana" w:hAnsi="Verdana" w:cs="Calibri"/>
          <w:color w:val="000000"/>
          <w:szCs w:val="24"/>
        </w:rPr>
        <w:t xml:space="preserve">, or </w:t>
      </w:r>
      <w:r w:rsidRPr="0056612D">
        <w:rPr>
          <w:rFonts w:ascii="Verdana" w:hAnsi="Verdana" w:cs="Calibri"/>
          <w:i/>
          <w:color w:val="000000"/>
          <w:szCs w:val="24"/>
        </w:rPr>
        <w:t>as well</w:t>
      </w:r>
      <w:r w:rsidRPr="0056612D">
        <w:rPr>
          <w:rFonts w:ascii="Verdana" w:hAnsi="Verdana" w:cs="Calibri"/>
          <w:color w:val="000000"/>
          <w:szCs w:val="24"/>
        </w:rPr>
        <w:t xml:space="preserve"> do not change the </w:t>
      </w:r>
      <w:r w:rsidR="00230F4C" w:rsidRPr="0056612D">
        <w:rPr>
          <w:rFonts w:ascii="Verdana" w:hAnsi="Verdana" w:cs="Calibri"/>
          <w:color w:val="000000"/>
          <w:szCs w:val="24"/>
        </w:rPr>
        <w:t>(</w:t>
      </w:r>
      <w:r w:rsidRPr="0056612D">
        <w:rPr>
          <w:rFonts w:ascii="Verdana" w:hAnsi="Verdana" w:cs="Calibri"/>
          <w:color w:val="000000"/>
          <w:szCs w:val="24"/>
        </w:rPr>
        <w:t xml:space="preserve">number </w:t>
      </w:r>
      <w:r w:rsidR="00230F4C" w:rsidRPr="0056612D">
        <w:rPr>
          <w:rFonts w:ascii="Verdana" w:hAnsi="Verdana" w:cs="Calibri"/>
          <w:color w:val="000000"/>
          <w:szCs w:val="24"/>
        </w:rPr>
        <w:t>singularize or pluralize</w:t>
      </w:r>
      <w:r w:rsidR="00D72C68" w:rsidRPr="0056612D">
        <w:rPr>
          <w:rFonts w:ascii="Verdana" w:hAnsi="Verdana" w:cs="Calibri"/>
          <w:color w:val="000000"/>
          <w:szCs w:val="24"/>
        </w:rPr>
        <w:t>/grammatical number</w:t>
      </w:r>
      <w:r w:rsidR="00230F4C" w:rsidRPr="0056612D">
        <w:rPr>
          <w:rFonts w:ascii="Verdana" w:hAnsi="Verdana" w:cs="Calibri"/>
          <w:color w:val="000000"/>
          <w:szCs w:val="24"/>
        </w:rPr>
        <w:t xml:space="preserve">) </w:t>
      </w:r>
      <w:r w:rsidRPr="0056612D">
        <w:rPr>
          <w:rFonts w:ascii="Verdana" w:hAnsi="Verdana" w:cs="Calibri"/>
          <w:color w:val="000000"/>
          <w:szCs w:val="24"/>
        </w:rPr>
        <w:t xml:space="preserve">of the subject. If the subject is singular, the verb is </w:t>
      </w:r>
      <w:r w:rsidR="00981097" w:rsidRPr="0056612D">
        <w:rPr>
          <w:rFonts w:ascii="Verdana" w:hAnsi="Verdana" w:cs="Calibri"/>
          <w:color w:val="000000"/>
          <w:szCs w:val="24"/>
        </w:rPr>
        <w:t>as well</w:t>
      </w:r>
      <w:r w:rsidRPr="0056612D">
        <w:rPr>
          <w:rFonts w:ascii="Verdana" w:hAnsi="Verdana" w:cs="Calibri"/>
          <w:color w:val="000000"/>
          <w:szCs w:val="24"/>
        </w:rPr>
        <w:t>.</w:t>
      </w:r>
    </w:p>
    <w:p w:rsidR="006E6FC7" w:rsidRPr="0056612D" w:rsidRDefault="006E6FC7" w:rsidP="0056612D">
      <w:pPr>
        <w:rPr>
          <w:rFonts w:cs="Calibri"/>
          <w:color w:val="000000"/>
          <w:szCs w:val="24"/>
        </w:rPr>
      </w:pPr>
    </w:p>
    <w:p w:rsidR="006E6FC7" w:rsidRPr="0056612D" w:rsidRDefault="006E6FC7" w:rsidP="00D84D74">
      <w:pPr>
        <w:ind w:firstLine="720"/>
        <w:rPr>
          <w:rFonts w:cs="Calibri"/>
          <w:b/>
          <w:color w:val="B30838"/>
          <w:szCs w:val="24"/>
        </w:rPr>
      </w:pPr>
      <w:r w:rsidRPr="0056612D">
        <w:rPr>
          <w:rFonts w:cs="Calibri"/>
          <w:b/>
          <w:color w:val="B30838"/>
          <w:szCs w:val="24"/>
        </w:rPr>
        <w:t>Example:</w:t>
      </w:r>
    </w:p>
    <w:p w:rsidR="006E6FC7" w:rsidRPr="0056612D" w:rsidRDefault="006E6FC7" w:rsidP="00D84D74">
      <w:pPr>
        <w:ind w:firstLine="720"/>
        <w:rPr>
          <w:rFonts w:cs="Calibri"/>
          <w:color w:val="000000"/>
          <w:szCs w:val="24"/>
        </w:rPr>
      </w:pPr>
      <w:r w:rsidRPr="0056612D">
        <w:rPr>
          <w:rFonts w:cs="Calibri"/>
          <w:color w:val="000000"/>
          <w:szCs w:val="24"/>
        </w:rPr>
        <w:t xml:space="preserve">The teacher, </w:t>
      </w:r>
      <w:r w:rsidRPr="0056612D">
        <w:rPr>
          <w:rFonts w:cs="Calibri"/>
          <w:i/>
          <w:color w:val="000000"/>
          <w:szCs w:val="24"/>
        </w:rPr>
        <w:t>accompanied by</w:t>
      </w:r>
      <w:r w:rsidRPr="0056612D">
        <w:rPr>
          <w:rFonts w:cs="Calibri"/>
          <w:color w:val="000000"/>
          <w:szCs w:val="24"/>
        </w:rPr>
        <w:t xml:space="preserve"> his son, is travelling to Florida.</w:t>
      </w:r>
    </w:p>
    <w:p w:rsidR="006E6FC7" w:rsidRPr="0056612D" w:rsidRDefault="006E6FC7" w:rsidP="00D84D74">
      <w:pPr>
        <w:ind w:firstLine="720"/>
        <w:rPr>
          <w:rFonts w:cs="Calibri"/>
          <w:color w:val="000000"/>
          <w:szCs w:val="24"/>
        </w:rPr>
      </w:pPr>
      <w:r w:rsidRPr="0056612D">
        <w:rPr>
          <w:rFonts w:cs="Calibri"/>
          <w:color w:val="000000"/>
          <w:szCs w:val="24"/>
        </w:rPr>
        <w:t>All of the toys</w:t>
      </w:r>
      <w:r w:rsidRPr="0056612D">
        <w:rPr>
          <w:rFonts w:cs="Calibri"/>
          <w:i/>
          <w:color w:val="000000"/>
          <w:szCs w:val="24"/>
        </w:rPr>
        <w:t>, including</w:t>
      </w:r>
      <w:r w:rsidRPr="0056612D">
        <w:rPr>
          <w:rFonts w:cs="Calibri"/>
          <w:color w:val="000000"/>
          <w:szCs w:val="24"/>
        </w:rPr>
        <w:t xml:space="preserve"> yours, are in the toy chest.</w:t>
      </w:r>
    </w:p>
    <w:p w:rsidR="006E6FC7" w:rsidRPr="0056612D" w:rsidRDefault="006E6FC7" w:rsidP="0056612D">
      <w:pPr>
        <w:rPr>
          <w:rFonts w:cs="Calibri"/>
          <w:color w:val="000000"/>
          <w:szCs w:val="24"/>
        </w:rPr>
      </w:pPr>
    </w:p>
    <w:p w:rsidR="006E6FC7" w:rsidRPr="0056612D" w:rsidRDefault="006E6FC7" w:rsidP="0056612D">
      <w:pPr>
        <w:spacing w:after="120"/>
        <w:rPr>
          <w:rFonts w:cs="Calibri"/>
          <w:b/>
          <w:color w:val="000000"/>
          <w:szCs w:val="24"/>
        </w:rPr>
      </w:pPr>
      <w:r w:rsidRPr="0056612D">
        <w:rPr>
          <w:rFonts w:cs="Calibri"/>
          <w:b/>
          <w:color w:val="000000"/>
          <w:szCs w:val="24"/>
        </w:rPr>
        <w:t>Resources:</w:t>
      </w:r>
    </w:p>
    <w:p w:rsidR="006E6FC7" w:rsidRPr="0056612D" w:rsidRDefault="006E6FC7" w:rsidP="0056612D">
      <w:pPr>
        <w:spacing w:after="120"/>
        <w:rPr>
          <w:rFonts w:cs="Calibri"/>
          <w:color w:val="000000"/>
          <w:szCs w:val="24"/>
        </w:rPr>
      </w:pPr>
      <w:r w:rsidRPr="0056612D">
        <w:rPr>
          <w:rFonts w:cs="Calibri"/>
          <w:color w:val="000000"/>
          <w:szCs w:val="24"/>
        </w:rPr>
        <w:t>Handouts by Nicole McDermott</w:t>
      </w:r>
    </w:p>
    <w:p w:rsidR="00387261" w:rsidRPr="0056612D" w:rsidRDefault="006E6FC7" w:rsidP="0056612D">
      <w:pPr>
        <w:spacing w:after="120"/>
        <w:rPr>
          <w:rFonts w:cs="Calibri"/>
          <w:color w:val="000000"/>
          <w:szCs w:val="24"/>
        </w:rPr>
      </w:pPr>
      <w:r w:rsidRPr="0056612D">
        <w:rPr>
          <w:rFonts w:cs="Calibri"/>
          <w:color w:val="000000"/>
          <w:szCs w:val="24"/>
        </w:rPr>
        <w:t>Purdue Online: Making Subjects and Verbs Agree</w:t>
      </w:r>
    </w:p>
    <w:p w:rsidR="006E6FC7" w:rsidRPr="0056612D" w:rsidRDefault="00013ED2" w:rsidP="0056612D">
      <w:pPr>
        <w:spacing w:after="120"/>
        <w:rPr>
          <w:szCs w:val="24"/>
        </w:rPr>
      </w:pPr>
      <w:hyperlink r:id="rId7" w:history="1">
        <w:r w:rsidR="0056612D">
          <w:rPr>
            <w:rStyle w:val="Hyperlink"/>
            <w:rFonts w:cs="Calibri"/>
            <w:szCs w:val="24"/>
          </w:rPr>
          <w:t>owl.english.purdue.edu</w:t>
        </w:r>
      </w:hyperlink>
      <w:r w:rsidR="0056612D">
        <w:rPr>
          <w:rFonts w:cs="Calibri"/>
          <w:color w:val="000000"/>
          <w:szCs w:val="24"/>
        </w:rPr>
        <w:t xml:space="preserve"> </w:t>
      </w:r>
    </w:p>
    <w:p w:rsidR="0056612D" w:rsidRPr="0056612D" w:rsidRDefault="0056612D" w:rsidP="0056612D">
      <w:pPr>
        <w:spacing w:after="120"/>
        <w:rPr>
          <w:szCs w:val="24"/>
        </w:rPr>
      </w:pPr>
      <w:r w:rsidRPr="0056612D">
        <w:rPr>
          <w:rFonts w:cs="Calibri"/>
          <w:color w:val="000000"/>
          <w:szCs w:val="24"/>
        </w:rPr>
        <w:t>http://owl.english.purdue.edu/owl/resource/599/01/</w:t>
      </w:r>
      <w:r>
        <w:rPr>
          <w:rFonts w:cs="Calibri"/>
          <w:color w:val="000000"/>
          <w:szCs w:val="24"/>
        </w:rPr>
        <w:t xml:space="preserve"> </w:t>
      </w:r>
    </w:p>
    <w:p w:rsidR="0056612D" w:rsidRPr="0056612D" w:rsidRDefault="0056612D">
      <w:pPr>
        <w:rPr>
          <w:szCs w:val="24"/>
        </w:rPr>
      </w:pPr>
    </w:p>
    <w:sectPr w:rsidR="0056612D" w:rsidRPr="0056612D" w:rsidSect="0056612D">
      <w:headerReference w:type="default" r:id="rId8"/>
      <w:pgSz w:w="12240" w:h="15840"/>
      <w:pgMar w:top="1440" w:right="1080" w:bottom="1440" w:left="108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C92" w:rsidRDefault="00BF4C92">
      <w:r>
        <w:separator/>
      </w:r>
    </w:p>
  </w:endnote>
  <w:endnote w:type="continuationSeparator" w:id="0">
    <w:p w:rsidR="00BF4C92" w:rsidRDefault="00BF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C92" w:rsidRDefault="00BF4C92">
      <w:r>
        <w:separator/>
      </w:r>
    </w:p>
  </w:footnote>
  <w:footnote w:type="continuationSeparator" w:id="0">
    <w:p w:rsidR="00BF4C92" w:rsidRDefault="00BF4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F4C" w:rsidRPr="000175AC" w:rsidRDefault="00230F4C" w:rsidP="000175AC">
    <w:pPr>
      <w:pStyle w:val="Header"/>
      <w:jc w:val="center"/>
      <w:rPr>
        <w:rFonts w:ascii="Arial" w:hAnsi="Arial" w:cs="Arial"/>
        <w:b/>
        <w:noProof/>
        <w:color w:val="365F91"/>
        <w:szCs w:val="24"/>
      </w:rPr>
    </w:pPr>
  </w:p>
  <w:p w:rsidR="00230F4C" w:rsidRDefault="0056612D" w:rsidP="000175AC">
    <w:pPr>
      <w:pStyle w:val="Header"/>
      <w:jc w:val="center"/>
    </w:pPr>
    <w:r>
      <w:rPr>
        <w:noProof/>
      </w:rPr>
      <w:drawing>
        <wp:inline distT="0" distB="0" distL="0" distR="0" wp14:anchorId="1D0F7D01">
          <wp:extent cx="2843784" cy="310896"/>
          <wp:effectExtent l="0" t="0" r="0" b="0"/>
          <wp:docPr id="2" name="Picture 2" descr="Mohawk College Logo" title="Mohawk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784" cy="310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25883"/>
    <w:multiLevelType w:val="hybridMultilevel"/>
    <w:tmpl w:val="C5445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07E67"/>
    <w:multiLevelType w:val="hybridMultilevel"/>
    <w:tmpl w:val="0D5CB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44C74"/>
    <w:multiLevelType w:val="hybridMultilevel"/>
    <w:tmpl w:val="A01029D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ZGceIWaIGRHkDdW37Qhlk6suHaAC/UNKufKCuwl1wMczjCaIwY6p+O2l+vc2c3h68rRSk9ei9G92ZwYiROihA==" w:salt="3uk0zvy2nOp4UKLlVJ/ZK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ABC"/>
    <w:rsid w:val="00013ED2"/>
    <w:rsid w:val="000175AC"/>
    <w:rsid w:val="00107D22"/>
    <w:rsid w:val="00230F4C"/>
    <w:rsid w:val="00241DB9"/>
    <w:rsid w:val="002E3172"/>
    <w:rsid w:val="002E3186"/>
    <w:rsid w:val="0037349E"/>
    <w:rsid w:val="00387261"/>
    <w:rsid w:val="004F5659"/>
    <w:rsid w:val="0056612D"/>
    <w:rsid w:val="006A667B"/>
    <w:rsid w:val="006E6FC7"/>
    <w:rsid w:val="00807C81"/>
    <w:rsid w:val="00981097"/>
    <w:rsid w:val="009F0E94"/>
    <w:rsid w:val="00AA2971"/>
    <w:rsid w:val="00BF4C92"/>
    <w:rsid w:val="00BF5C1E"/>
    <w:rsid w:val="00D43ABC"/>
    <w:rsid w:val="00D72C68"/>
    <w:rsid w:val="00D84D74"/>
    <w:rsid w:val="00DC69E7"/>
    <w:rsid w:val="00E37265"/>
    <w:rsid w:val="00F5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2B849A9-5CDC-422D-B00C-5B9895BC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612D"/>
    <w:rPr>
      <w:rFonts w:ascii="Verdana" w:hAnsi="Verdana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12D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D43AB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CA" w:eastAsia="en-CA"/>
    </w:rPr>
  </w:style>
  <w:style w:type="character" w:styleId="Strong">
    <w:name w:val="Strong"/>
    <w:basedOn w:val="DefaultParagraphFont"/>
    <w:qFormat/>
    <w:rsid w:val="00D43ABC"/>
    <w:rPr>
      <w:b/>
      <w:bCs/>
    </w:rPr>
  </w:style>
  <w:style w:type="paragraph" w:styleId="ListParagraph">
    <w:name w:val="List Paragraph"/>
    <w:basedOn w:val="Normal"/>
    <w:uiPriority w:val="34"/>
    <w:qFormat/>
    <w:rsid w:val="006E6FC7"/>
    <w:pPr>
      <w:ind w:left="720"/>
      <w:contextualSpacing/>
    </w:pPr>
    <w:rPr>
      <w:rFonts w:ascii="Times New Roman" w:eastAsia="Calibri" w:hAnsi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1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6612D"/>
    <w:rPr>
      <w:rFonts w:ascii="Verdana" w:eastAsiaTheme="majorEastAsia" w:hAnsi="Verdana" w:cstheme="majorBidi"/>
      <w:b/>
      <w:bCs/>
      <w:color w:val="000000" w:themeColor="text1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5661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wl.english.purdue.edu/owl/resource/599/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235</Words>
  <Characters>1346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Clause</vt:lpstr>
    </vt:vector>
  </TitlesOfParts>
  <Company>Mohawk College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Clause</dc:title>
  <dc:subject/>
  <dc:creator>J Picard</dc:creator>
  <cp:keywords/>
  <cp:lastModifiedBy>MacCormack, Abigail</cp:lastModifiedBy>
  <cp:revision>4</cp:revision>
  <dcterms:created xsi:type="dcterms:W3CDTF">2014-06-25T15:51:00Z</dcterms:created>
  <dcterms:modified xsi:type="dcterms:W3CDTF">2020-11-24T21:53:00Z</dcterms:modified>
</cp:coreProperties>
</file>